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FC32" w14:textId="5C5CE05B" w:rsidR="008B4E0D" w:rsidRPr="00DE5D0D" w:rsidRDefault="008B4E0D" w:rsidP="008B4E0D">
      <w:pPr>
        <w:spacing w:before="120"/>
        <w:jc w:val="center"/>
        <w:rPr>
          <w:rFonts w:ascii="Arial" w:hAnsi="Arial" w:cs="Arial"/>
          <w:b/>
          <w:bCs/>
          <w:sz w:val="32"/>
          <w:szCs w:val="32"/>
        </w:rPr>
      </w:pPr>
      <w:r w:rsidRPr="00DE5D0D">
        <w:rPr>
          <w:rFonts w:ascii="Arial" w:hAnsi="Arial" w:cs="Arial"/>
          <w:b/>
          <w:bCs/>
          <w:sz w:val="32"/>
          <w:szCs w:val="32"/>
        </w:rPr>
        <w:t xml:space="preserve">A GLOSSARY OF </w:t>
      </w:r>
      <w:r w:rsidR="000E7289" w:rsidRPr="00DE5D0D">
        <w:rPr>
          <w:rFonts w:ascii="Arial" w:hAnsi="Arial" w:cs="Arial"/>
          <w:b/>
          <w:bCs/>
          <w:sz w:val="32"/>
          <w:szCs w:val="32"/>
        </w:rPr>
        <w:t>ARCTIC</w:t>
      </w:r>
      <w:r w:rsidRPr="00DE5D0D">
        <w:rPr>
          <w:rFonts w:ascii="Arial" w:hAnsi="Arial" w:cs="Arial"/>
          <w:b/>
          <w:bCs/>
          <w:sz w:val="32"/>
          <w:szCs w:val="32"/>
        </w:rPr>
        <w:t xml:space="preserve"> TERMS</w:t>
      </w:r>
    </w:p>
    <w:p w14:paraId="13A51F8D" w14:textId="7A0D2068"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Arctic Climate Impact Assessment (ACIA): This 1,049-page assessment was produced in 2005 by a working group of the Arctic Council. The conclusions were then provided to the United Nations Intergovernmental Panel on Climate Change (IPCC) and incorporated into that group’s subsequent report. This assessment has been praised for raising concerns about the role of the Arctic region in climate feedbacks. The entire 1,049 page document is available at </w:t>
      </w:r>
      <w:hyperlink r:id="rId6" w:history="1">
        <w:r w:rsidR="00DE5D0D">
          <w:rPr>
            <w:rStyle w:val="Hyperlink"/>
            <w:rFonts w:ascii="Arial" w:hAnsi="Arial" w:cs="Arial"/>
          </w:rPr>
          <w:t>https://www.amap.no/documents/download/ 1105/inline</w:t>
        </w:r>
      </w:hyperlink>
      <w:r w:rsidRPr="00DE5D0D">
        <w:rPr>
          <w:rFonts w:ascii="Arial" w:hAnsi="Arial" w:cs="Arial"/>
        </w:rPr>
        <w:t xml:space="preserve"> </w:t>
      </w:r>
    </w:p>
    <w:p w14:paraId="40B8318D"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Arctic Council: Established by the Ottawa Declaration in 1996, the Arctic Council is the preeminent intergovernmental forum for addressing issues related to the Arctic Region.  The members of the Arctic Council include the eight Arctic States (Canada, Denmark, Finland, Iceland, Norway, Sweden, the Russian Federation, and the United States). The Arctic Council is not a treaty-based international organization but rather an international forum that operates on the basis of consensus, echoing the peaceful and cooperative nature of the Arctic Region. The Council focuses its work on matters related to sustainable development, the environmental protection; its mandate explicitly excludes military security. Traditionally, the Council is chaired by the foreign minister of the country holding the chairmanship.</w:t>
      </w:r>
    </w:p>
    <w:p w14:paraId="7551B314"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Arctic Marine Oil Pollution Preparedness and Response Agreement (2013): In May 2013, the eight Arctic States signed the Agreement on Cooperation on Marine Oil Pollution Preparedness and Response in the Arctic  during the 9th Arctic Council Ministerial in Kiruna, Sweden. This is the second legally binding agreement negotiated under the auspices of the Arctic Council. The agreement strengthens cooperation, coordination, and mutual assistance among Arctic nations on oil pollution preparedness and response in the region to protect the marine environment. The agreement is helping to forge strong partnerships in advance of an oil spill so that Arctic countries can quickly and cooperatively respond before it endangers lives and threatens fragile ecosystems.</w:t>
      </w:r>
    </w:p>
    <w:p w14:paraId="5A5003B2" w14:textId="6E398A74"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Arctic Monitoring and Assessment Program (AMAP): This is a working group of the Arctic Council This working group has produced numerous recent reports including “Mercury in the Arctic,” “Arctic Climate Update,” “Human Health in the Arctic,” “Mercury Assessment,” “Impacts of Short-Lived Climate Forcers,” and “Biological Effects of Contamination on Arctic Wildlife and Fish.” All of the reports are downloadable at </w:t>
      </w:r>
      <w:hyperlink r:id="rId7" w:history="1">
        <w:r w:rsidRPr="00DE5D0D">
          <w:rPr>
            <w:rStyle w:val="Hyperlink"/>
            <w:rFonts w:ascii="Arial" w:hAnsi="Arial" w:cs="Arial"/>
          </w:rPr>
          <w:t>https://www.amap.no/</w:t>
        </w:r>
      </w:hyperlink>
      <w:r w:rsidRPr="00DE5D0D">
        <w:rPr>
          <w:rFonts w:ascii="Arial" w:hAnsi="Arial" w:cs="Arial"/>
        </w:rPr>
        <w:t xml:space="preserve"> </w:t>
      </w:r>
    </w:p>
    <w:p w14:paraId="4AAAA00D"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Arctic National Wildlife Reserve (ANWR): The U.S. Fish and Wildlife Service describes ANWR as follows: America's largest and northernmost refuge covers a huge swath of remote lands and waters in the northeast corner of Alaska, including the homelands of the </w:t>
      </w:r>
      <w:proofErr w:type="spellStart"/>
      <w:r w:rsidRPr="00DE5D0D">
        <w:rPr>
          <w:rFonts w:ascii="Arial" w:hAnsi="Arial" w:cs="Arial"/>
        </w:rPr>
        <w:t>Iñupiat</w:t>
      </w:r>
      <w:proofErr w:type="spellEnd"/>
      <w:r w:rsidRPr="00DE5D0D">
        <w:rPr>
          <w:rFonts w:ascii="Arial" w:hAnsi="Arial" w:cs="Arial"/>
        </w:rPr>
        <w:t xml:space="preserve"> people of the north coast and the Gwich'in people of interior Alaska and northwest Canada. It contains the largest area of designated Wilderness in the National Wildlife Refuge System and three of its rivers (Sheenjek, </w:t>
      </w:r>
      <w:proofErr w:type="spellStart"/>
      <w:r w:rsidRPr="00DE5D0D">
        <w:rPr>
          <w:rFonts w:ascii="Arial" w:hAnsi="Arial" w:cs="Arial"/>
        </w:rPr>
        <w:t>Ivishak</w:t>
      </w:r>
      <w:proofErr w:type="spellEnd"/>
      <w:r w:rsidRPr="00DE5D0D">
        <w:rPr>
          <w:rFonts w:ascii="Arial" w:hAnsi="Arial" w:cs="Arial"/>
        </w:rPr>
        <w:t xml:space="preserve">, and Wind) are designated Wild and Scenic Rivers .  Stretching 200 miles from the Arctic Ocean south over the Brooks Range and into the boreal forest of the Yukon River basin, this 19.64-million acre refuge encompasses five different ecological regions: coastal marine, coastal plain tundra, alpine tundra, forest-tundra transition, and boreal forest. </w:t>
      </w:r>
      <w:r w:rsidRPr="00DE5D0D">
        <w:rPr>
          <w:rFonts w:ascii="Arial" w:hAnsi="Arial" w:cs="Arial"/>
        </w:rPr>
        <w:lastRenderedPageBreak/>
        <w:t>These lands and waters are home to some of the most diverse and spectacular fish and wildlife in the arctic, from polar bears to caribou, Dall sheep, muskox, salmon-sized Dolly Varden char, and Arctic Grayling. Birds from all over the world come here to breed, feed, and rear their young. Conserving these populations and their habitats in their natural diversity is a purpose of the refuge. The Eisenhower administration established the 9-million-acre Arctic National Wildlife Range in 1960 to preserve unique wildlife, wilderness and recreational values. In 1980, the Alaska National Interest Lands Conservation Act (ANILCA) re-designated the range as part of the larger Arctic National Wildlife Refuge, with nearly 40 percent of the refuge designated as Wilderness.</w:t>
      </w:r>
    </w:p>
    <w:p w14:paraId="0ECAEB24" w14:textId="0F90E1F2"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Arctic Ocean: The Alaska Wildlife League offers the following description: “America’s Arctic Ocean, the Beaufort and Chukchi seas, provides habitat for countless species of wildlife and is central to life in coastal communities. This is one of the most unique marine ecosystems in the world, home to the entire population of U.S. polar bears as well as walrus, seals, bowhead whales, narwhals and more. The Arctic Ocean also plays a key role in regulating the world’s climate, and whether or not the U.S. drills in Arctic waters will have a major impact on the global effort to address climate change.” </w:t>
      </w:r>
      <w:hyperlink r:id="rId8" w:history="1">
        <w:r w:rsidRPr="00DE5D0D">
          <w:rPr>
            <w:rStyle w:val="Hyperlink"/>
            <w:rFonts w:ascii="Arial" w:hAnsi="Arial" w:cs="Arial"/>
          </w:rPr>
          <w:t>https://alaskawild.org/arctic-ocean/</w:t>
        </w:r>
      </w:hyperlink>
      <w:r w:rsidRPr="00DE5D0D">
        <w:rPr>
          <w:rFonts w:ascii="Arial" w:hAnsi="Arial" w:cs="Arial"/>
        </w:rPr>
        <w:t xml:space="preserve">  </w:t>
      </w:r>
    </w:p>
    <w:p w14:paraId="19AB8472"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Arctic Research and Policy Act of 1984, As Amended in 1990, 1993, 2006: To provide for a comprehensive national policy dealing with national research needs and objectives in the Arctic, for a National Critical Materials Council, for development of a continuing and comprehensive national materials policy, for programs necessary to carry out that policy, including Federal programs of advanced materials research and technology, and for innovation in basic materials industries, and for other purposes. Section 112 of the Act defined the “Arctic:” As used in this title, the term “Arctic” means all United States and foreign territory north of the Arctic Circle and all United States territory north and west of the boundary formed by the Porcupine, Yukon, and Kuskokwim Rivers; all contiguous seas, including the Arctic Ocean and the Beaufort, Bering and Chukchi Seas; and the Aleutian chain. The Act creates the Arctic Research Commission.</w:t>
      </w:r>
    </w:p>
    <w:p w14:paraId="6404BE03"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Arctic Research Commission: The U.S. Arctic Research Commission (USARC) is an independent federal agency created by the Arctic Research and Policy Act of 1984. It is a presidentially appointed advisory body supported by staff in Washington, DC, and in Anchorage, Alaska. In addition to delivering a biennial report to the President and Congress outlining recommended scientific research goals and objectives for the Arctic, the Commission develops and recommends an integrated national Arctic research policy and builds cooperative links in Arctic research within the federal government, with the State of Alaska, and with international partners.</w:t>
      </w:r>
    </w:p>
    <w:p w14:paraId="24FA6690"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Arctic Science Agreement (2017): In May 2017, the eight Arctic States signed the Agreement on Enhancing International Arctic Scientific Cooperation during the 10th Arctic Council Ministerial in Fairbanks, Alaska. This is the third legally binding agreement negotiated under the auspices of the Arctic Council. The agreement facilitates access by scientists of the eight Arctic States to Arctic areas that each State has identified, including entry and exit of persons, equipment, and materials; access to research infrastructure and facilities; and access to research areas. The agreement </w:t>
      </w:r>
      <w:r w:rsidRPr="00DE5D0D">
        <w:rPr>
          <w:rFonts w:ascii="Arial" w:hAnsi="Arial" w:cs="Arial"/>
        </w:rPr>
        <w:lastRenderedPageBreak/>
        <w:t>also calls for the parties to promote education and training of scientists working on Arctic matters.</w:t>
      </w:r>
    </w:p>
    <w:p w14:paraId="353D6440"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Arctic Search and Rescue (SAR) Agreement (2011): In May 2011, the eight Arctic States signed the Agreement on Cooperation on Aeronautical and Maritime Search and Rescue in the Arctic  during the 8th Arctic Council Ministerial in Nuuk, Greenland (Denmark). This is the first legally binding agreement negotiated under the auspices of the Arctic Council. It coordinates life-saving international maritime and aeronautical SAR coverage and response among the Arctic States across an area of about 13 million square miles in the Arctic. The SAR Agreement will improve search and rescue response in the Arctic by committing all Parties to coordinate appropriate assistance to those in distress and to cooperate with each other in undertaking SAR operations. For each Party, the Agreement defines an area of the Arctic in which it will have lead responsibility in organizing responses to SAR incidents, both large and small. Parties to the Agreement commit to provide SAR assistance regardless of the nationality or status of persons who may need it.</w:t>
      </w:r>
    </w:p>
    <w:p w14:paraId="0F3BBF19"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Conservation of Arctic Flora and Fauna (CAFF): This is a working group of the Arctic Council with a mandate “to address the conservation of Arctic biodiversity, and to communicate its findings to the governments and residents of the Arctic, helping to promote practices which ensure the sustainability of the Arctic’s living resources. It does so through various monitoring, assessment and expert group activities. CAFF serves as a vehicle to cooperate on species and habitat management and utilization, to share information on management techniques and regulatory regimes, and to facilitate more knowledgeable decision-making. It provides a mechanism to develop common responses on issues of importance for the Arctic ecosystem such as development and economic pressures, conservation opportunities and political commitments.”</w:t>
      </w:r>
    </w:p>
    <w:p w14:paraId="021EDF61"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Cryosphere: All regions on and beneath the surface of the Earth and ocean where water is in solid form, including sea ice, lake ice, river ice, snow cover, and glaciers.</w:t>
      </w:r>
    </w:p>
    <w:p w14:paraId="756C2FAD" w14:textId="250EDB2A"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Department of Defense Arctic Strategy 2024: The opening paragraph of this 28 page document follow: This new DoD strategy directs the Department to enhance its Arctic capabilities, deepen engagement with Allies and partners, and exercise our forces to build readiness for operations at high latitudes. The document supports the 2022 National Security Strategy as well as the 2022 National Strategy for the Arctic Region, and its lines of effort implement the 2022 National Defense Strategy direction to adopt a “monitor-and-respond” approach to preserving stability in the Arctic. This strategy represents prudent and measured efforts to protect U.S. interests in the face of new challenges and an evolving security environment.  </w:t>
      </w:r>
      <w:hyperlink r:id="rId9" w:history="1">
        <w:r w:rsidR="00DE5D0D">
          <w:rPr>
            <w:rStyle w:val="Hyperlink"/>
            <w:rFonts w:ascii="Arial" w:hAnsi="Arial" w:cs="Arial"/>
          </w:rPr>
          <w:t>https://media.defense.gov/2024/ Jul/22/2003507411/-1/-1/0/DOD-ARCTIC-STRATEGY-2024.PDF</w:t>
        </w:r>
      </w:hyperlink>
      <w:r w:rsidRPr="00DE5D0D">
        <w:rPr>
          <w:rFonts w:ascii="Arial" w:hAnsi="Arial" w:cs="Arial"/>
        </w:rPr>
        <w:t xml:space="preserve">  </w:t>
      </w:r>
    </w:p>
    <w:p w14:paraId="526DFCD4" w14:textId="28BEEF48"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Emergency Prevention, Preparedness, and Response (EPPR): This working group of the Arctic Council has the following assigned responsibilities: “Developing guidance and risk assessment methodologies; Exchanging information and best practices regarding prevention, preparedness and response to accidents and threats from unintentional releases of pollutants and radionuclides, and to natural disasters; Coordinating response exercises and training; Maintaining the operational guidelines for two of the </w:t>
      </w:r>
      <w:r w:rsidRPr="00DE5D0D">
        <w:rPr>
          <w:rFonts w:ascii="Arial" w:hAnsi="Arial" w:cs="Arial"/>
        </w:rPr>
        <w:lastRenderedPageBreak/>
        <w:t>legally binding agreements negotiated under the auspices of the Arctic Council, agreements on Search and Rescue (SAR) and Cooperation on Marine Oil Pollution Preparedness and Response (MOSPA).”</w:t>
      </w:r>
    </w:p>
    <w:p w14:paraId="608940E2"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Indigenous Peoples: This refers to native groups occupying the Arctic region before the arrival of outside settlers. Some of the major Indigenous Peoples groups in the Arctic are the Inuit, Aleut, Yupik, Saami, Nenets, Khanty, Evenk, and Chukchi. According to the World Wildlife Fund website, “there are more than 40 Indigenous Peoples in the Arctic. They represent about 10 per cent of the Arctic’s total population of four million. Of the Arctic coastal peoples, the Inuit are the most widespread, occupying coastlines from Arctic Russia to Canada to Greenland, a span of thousands of </w:t>
      </w:r>
      <w:proofErr w:type="spellStart"/>
      <w:r w:rsidRPr="00DE5D0D">
        <w:rPr>
          <w:rFonts w:ascii="Arial" w:hAnsi="Arial" w:cs="Arial"/>
        </w:rPr>
        <w:t>kilometres</w:t>
      </w:r>
      <w:proofErr w:type="spellEnd"/>
      <w:r w:rsidRPr="00DE5D0D">
        <w:rPr>
          <w:rFonts w:ascii="Arial" w:hAnsi="Arial" w:cs="Arial"/>
        </w:rPr>
        <w:t>. In some Arctic states and regional political units, Indigenous People are comparatively small minorities. Alaskan Native peoples are estimated to comprise 15 per cent of the state population, while in Greenland, Indigenous People (including persons of mixed origin) make up about 88 per cent of the population” https://www.arcticwwf.org/our-priorities/arctic-communities/</w:t>
      </w:r>
    </w:p>
    <w:p w14:paraId="0C8AFF36"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Methane hydrates: The ScienceDirect website offers the following explanation: “Methane hydrate is a crystalline solid that consists of a methane molecule surrounded by a cage of interlocking water molecules. Methane hydrate is an “ice” that occurs naturally in subsurface deposits where temperature and pressure conditions are favorable for its formation. Potentially large deposits have been found under sediments on the ocean floors of the Earth. On the sea floor the icelike solid fuel is formed, and only remains stable, at high pressure and low temperature. Methane hydrates are fragile and global warming of the oceans could affect their stability. This is evident in the history of the Earth where climate changes in the past may have led to the destabilization of methane hydrates and the release of methane. It is likely that between 1000 and 5000 </w:t>
      </w:r>
      <w:proofErr w:type="spellStart"/>
      <w:r w:rsidRPr="00DE5D0D">
        <w:rPr>
          <w:rFonts w:ascii="Arial" w:hAnsi="Arial" w:cs="Arial"/>
        </w:rPr>
        <w:t>Gtons</w:t>
      </w:r>
      <w:proofErr w:type="spellEnd"/>
      <w:r w:rsidRPr="00DE5D0D">
        <w:rPr>
          <w:rFonts w:ascii="Arial" w:hAnsi="Arial" w:cs="Arial"/>
        </w:rPr>
        <w:t xml:space="preserve"> carbon are present in methane hydrates, equivalent to 100–500 times the annual emissions from the combustion of coal, oil, and gas. Also, methane hydrates may be tapped as a new source of energy by humans unable to divest from their appetite for fossil fuels” https://www.sciencedirect.com/topics/earth-and-planetary-sciences/methane-hydrate</w:t>
      </w:r>
    </w:p>
    <w:p w14:paraId="4B6D7DAD"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Pelagic Zone: The pelagic zone refers to the portion of the water column that goes from the surface of the sea almost to the bottom.</w:t>
      </w:r>
    </w:p>
    <w:p w14:paraId="427B457E" w14:textId="1089ACDD" w:rsidR="000E7289" w:rsidRPr="00DE5D0D" w:rsidRDefault="000E7289" w:rsidP="000E7289">
      <w:pPr>
        <w:spacing w:before="120"/>
        <w:ind w:left="360" w:hanging="360"/>
        <w:jc w:val="both"/>
        <w:rPr>
          <w:rFonts w:ascii="Arial" w:hAnsi="Arial" w:cs="Arial"/>
        </w:rPr>
      </w:pPr>
      <w:r w:rsidRPr="00DE5D0D">
        <w:rPr>
          <w:rFonts w:ascii="Arial" w:hAnsi="Arial" w:cs="Arial"/>
        </w:rPr>
        <w:t xml:space="preserve">Permafrost: The Natural Resources Defense Council offers the following explanation of permafrost and the impact of melting permafrost on climate warming feedbacks: “Permafrost is any type of ground—from soil to sediment to rock—that has been frozen continuously for a minimum of two years and as many as hundreds of thousands of years. It can extend down beneath the earth’s surface from a few feet to more than a mile—covering entire regions, such as the Arctic tundra, or a single, isolated spot, such as a mountaintop of alpine permafrost. . . . Packed with many thousands of years of life, from human bodies to the bodies of woolly mammoths, permafrost is one of earth’s great stores of global warming gases. Indeed, permafrost in the Arctic alone is estimated to hold nearly twice as much carbon as exists in the atmosphere now, as well as a sizable amount of methane—a powerful greenhouse gas that traps more than 80 times more heat on the planet than carbon does. But our warming world may jeopardize these stores. Estimates on how much carbon and </w:t>
      </w:r>
      <w:r w:rsidRPr="00DE5D0D">
        <w:rPr>
          <w:rFonts w:ascii="Arial" w:hAnsi="Arial" w:cs="Arial"/>
        </w:rPr>
        <w:lastRenderedPageBreak/>
        <w:t xml:space="preserve">methane will be released by thawing permafrost vary, but according to a 2015 study titled "Climate Change and the Permafrost Carbon Feedback," published in Nature, as much as 92 billion tons of carbon could be emitted between now and 2100. For perspective, that’s equal to nearly 20 percent of all global carbon emissions since the start of the Industrial Revolution” </w:t>
      </w:r>
      <w:hyperlink r:id="rId10" w:history="1">
        <w:r w:rsidRPr="00DE5D0D">
          <w:rPr>
            <w:rStyle w:val="Hyperlink"/>
            <w:rFonts w:ascii="Arial" w:hAnsi="Arial" w:cs="Arial"/>
          </w:rPr>
          <w:t>https://www.nrdc.org/stories/permafrost-everything-you-need-know</w:t>
        </w:r>
      </w:hyperlink>
      <w:r w:rsidRPr="00DE5D0D">
        <w:rPr>
          <w:rFonts w:ascii="Arial" w:hAnsi="Arial" w:cs="Arial"/>
        </w:rPr>
        <w:t xml:space="preserve"> </w:t>
      </w:r>
    </w:p>
    <w:p w14:paraId="0E25BEFB"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Protection of the Arctic Marine Environment (PAME): This is a working group of the Arctic Council with the following mandate: "To address marine policy measures and other measures related to the conservation and sustainable use of the Arctic marine and coastal environment in response to environmental change and from both land and sea-based activities, including non-emergency pollution prevention control measures such as coordinated strategic plans as well as developing programs, assessments and guidelines, all of which aim to complement or supplement efforts and existing arrangements for the for the protection and sustainable development of the Arctic marine environment."</w:t>
      </w:r>
    </w:p>
    <w:p w14:paraId="591C4C3E" w14:textId="77777777" w:rsidR="000E7289" w:rsidRPr="00DE5D0D" w:rsidRDefault="000E7289" w:rsidP="000E7289">
      <w:pPr>
        <w:spacing w:before="120"/>
        <w:ind w:left="360" w:hanging="360"/>
        <w:jc w:val="both"/>
        <w:rPr>
          <w:rFonts w:ascii="Arial" w:hAnsi="Arial" w:cs="Arial"/>
        </w:rPr>
      </w:pPr>
      <w:r w:rsidRPr="00DE5D0D">
        <w:rPr>
          <w:rFonts w:ascii="Arial" w:hAnsi="Arial" w:cs="Arial"/>
        </w:rPr>
        <w:t>Sustainable Development Working Group (SDWG): This is a working group of the Arctic Council with the following mandate: “The goal of the Sustainable Development program of the Arctic Council is to propose and adopt steps to be taken by the Arctic States to advance sustainable development in the Arctic. This includes pursuing opportunities to protect and enhance the environment and the economies, culture and health of Indigenous peoples and Arctic communities. The guiding tenet running throughout the work of the SDWG is to pursue initiatives that provide practical knowledge and contribute to building the capacity of Indigenous peoples and Arctic communities to respond to the challenges and benefits from the opportunities in the Arctic region.”</w:t>
      </w:r>
    </w:p>
    <w:p w14:paraId="4EC41ACA" w14:textId="2DA5D50B" w:rsidR="00CA6543" w:rsidRPr="00DE5D0D" w:rsidRDefault="000E7289" w:rsidP="000E7289">
      <w:pPr>
        <w:spacing w:before="120"/>
        <w:ind w:left="360" w:hanging="360"/>
        <w:jc w:val="both"/>
        <w:rPr>
          <w:rFonts w:ascii="Arial" w:hAnsi="Arial" w:cs="Arial"/>
        </w:rPr>
      </w:pPr>
      <w:r w:rsidRPr="00DE5D0D">
        <w:rPr>
          <w:rFonts w:ascii="Arial" w:hAnsi="Arial" w:cs="Arial"/>
        </w:rPr>
        <w:t>Ted Stevens Center for Arctic Security Studies: The Ted Stevens Center for Arctic Security Studies is a U.S. Department of Defense Regional Center officially established June 9, 2021, on Joint Base Elmendorf-Richardson in Anchorage, Alaska. It is named for a former U.S. Senator from Alaska. TSC addresses regional and global security by convening military and civilian security practitioners of the United States and our Allies and partners across the Arctic region to promote discussion and understanding to advance collaborative security solutions that are inclusive of Arctic Indigenous perspectives. The center supports U.S. Northern Command’s campaign objectives through creative and innovative programs aimed at understanding and addressing the strategic implications of current and emerging Arctic security challenges. The center utilizes a multilateral and multi-dimensional approach across a range of executive-level courses to advance Arctic awareness and establish a comprehensive understanding of the Arctic operating environment. In doing so, TSC builds a network of like-minded security practitioners, leaders, and decision-makers to reinforce the rules-based order in the Arctic.</w:t>
      </w:r>
    </w:p>
    <w:p w14:paraId="03FA2598" w14:textId="77777777" w:rsidR="004901BE" w:rsidRPr="00DE5D0D" w:rsidRDefault="004901BE" w:rsidP="00CA6543">
      <w:pPr>
        <w:spacing w:before="120"/>
        <w:ind w:left="360" w:hanging="360"/>
        <w:jc w:val="both"/>
        <w:rPr>
          <w:rFonts w:ascii="Arial" w:hAnsi="Arial" w:cs="Arial"/>
        </w:rPr>
      </w:pPr>
    </w:p>
    <w:sectPr w:rsidR="004901BE" w:rsidRPr="00DE5D0D" w:rsidSect="00A21080">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08A3" w14:textId="77777777" w:rsidR="005B67CC" w:rsidRDefault="005B67CC" w:rsidP="002D1F2C">
      <w:r>
        <w:separator/>
      </w:r>
    </w:p>
  </w:endnote>
  <w:endnote w:type="continuationSeparator" w:id="0">
    <w:p w14:paraId="6BDCF472" w14:textId="77777777" w:rsidR="005B67CC" w:rsidRDefault="005B67CC" w:rsidP="002D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9671159"/>
      <w:docPartObj>
        <w:docPartGallery w:val="Page Numbers (Bottom of Page)"/>
        <w:docPartUnique/>
      </w:docPartObj>
    </w:sdtPr>
    <w:sdtContent>
      <w:p w14:paraId="367E888B" w14:textId="1F1373A3" w:rsidR="002D1F2C" w:rsidRDefault="002D1F2C" w:rsidP="00A827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A0FD8" w14:textId="77777777" w:rsidR="002D1F2C" w:rsidRDefault="002D1F2C" w:rsidP="002D1F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AB4B" w14:textId="77777777" w:rsidR="002D1F2C" w:rsidRDefault="002D1F2C" w:rsidP="002D1F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23BA" w14:textId="77777777" w:rsidR="005B67CC" w:rsidRDefault="005B67CC" w:rsidP="002D1F2C">
      <w:r>
        <w:separator/>
      </w:r>
    </w:p>
  </w:footnote>
  <w:footnote w:type="continuationSeparator" w:id="0">
    <w:p w14:paraId="63F5B302" w14:textId="77777777" w:rsidR="005B67CC" w:rsidRDefault="005B67CC" w:rsidP="002D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5032187"/>
      <w:docPartObj>
        <w:docPartGallery w:val="Page Numbers (Top of Page)"/>
        <w:docPartUnique/>
      </w:docPartObj>
    </w:sdtPr>
    <w:sdtContent>
      <w:p w14:paraId="2366E09B" w14:textId="2F4BFE7F" w:rsidR="002D1F2C" w:rsidRDefault="002D1F2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5BD2B" w14:textId="77777777" w:rsidR="002D1F2C" w:rsidRDefault="002D1F2C" w:rsidP="002D1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5590113"/>
      <w:docPartObj>
        <w:docPartGallery w:val="Page Numbers (Top of Page)"/>
        <w:docPartUnique/>
      </w:docPartObj>
    </w:sdtPr>
    <w:sdtContent>
      <w:p w14:paraId="749B8468" w14:textId="51FCE3CC" w:rsidR="002D1F2C" w:rsidRDefault="002D1F2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53DEE9" w14:textId="77777777" w:rsidR="002D1F2C" w:rsidRDefault="002D1F2C" w:rsidP="002D1F2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BE"/>
    <w:rsid w:val="00016342"/>
    <w:rsid w:val="00037E78"/>
    <w:rsid w:val="0004276F"/>
    <w:rsid w:val="00053784"/>
    <w:rsid w:val="0007570D"/>
    <w:rsid w:val="00084331"/>
    <w:rsid w:val="000B5B79"/>
    <w:rsid w:val="000C0CEC"/>
    <w:rsid w:val="000D0390"/>
    <w:rsid w:val="000D38F7"/>
    <w:rsid w:val="000E6BB9"/>
    <w:rsid w:val="000E7289"/>
    <w:rsid w:val="000E7E2E"/>
    <w:rsid w:val="00101623"/>
    <w:rsid w:val="001143DE"/>
    <w:rsid w:val="0014596A"/>
    <w:rsid w:val="0014797A"/>
    <w:rsid w:val="00183C52"/>
    <w:rsid w:val="001918FE"/>
    <w:rsid w:val="001B7D20"/>
    <w:rsid w:val="001C3288"/>
    <w:rsid w:val="001C4810"/>
    <w:rsid w:val="001D65CA"/>
    <w:rsid w:val="00224B85"/>
    <w:rsid w:val="00226206"/>
    <w:rsid w:val="00230578"/>
    <w:rsid w:val="00282413"/>
    <w:rsid w:val="002B367B"/>
    <w:rsid w:val="002C3705"/>
    <w:rsid w:val="002D00B0"/>
    <w:rsid w:val="002D1F2C"/>
    <w:rsid w:val="0033124B"/>
    <w:rsid w:val="00341AF7"/>
    <w:rsid w:val="00346345"/>
    <w:rsid w:val="00350156"/>
    <w:rsid w:val="003916F1"/>
    <w:rsid w:val="003A0048"/>
    <w:rsid w:val="003A7C98"/>
    <w:rsid w:val="003D2FBE"/>
    <w:rsid w:val="003E7321"/>
    <w:rsid w:val="003F3683"/>
    <w:rsid w:val="00404CF9"/>
    <w:rsid w:val="004733A2"/>
    <w:rsid w:val="00485C6E"/>
    <w:rsid w:val="004901B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B67CC"/>
    <w:rsid w:val="005E02D2"/>
    <w:rsid w:val="00662555"/>
    <w:rsid w:val="0068775B"/>
    <w:rsid w:val="00693B1E"/>
    <w:rsid w:val="006A05E9"/>
    <w:rsid w:val="006C0436"/>
    <w:rsid w:val="006E282B"/>
    <w:rsid w:val="006E39C8"/>
    <w:rsid w:val="006E3A81"/>
    <w:rsid w:val="00736285"/>
    <w:rsid w:val="00784EF2"/>
    <w:rsid w:val="007935D8"/>
    <w:rsid w:val="007942C4"/>
    <w:rsid w:val="00795128"/>
    <w:rsid w:val="007E3C96"/>
    <w:rsid w:val="007E5C03"/>
    <w:rsid w:val="007F237D"/>
    <w:rsid w:val="00801645"/>
    <w:rsid w:val="00801929"/>
    <w:rsid w:val="00820843"/>
    <w:rsid w:val="008A28BF"/>
    <w:rsid w:val="008B4E0D"/>
    <w:rsid w:val="008D3B3E"/>
    <w:rsid w:val="008E1293"/>
    <w:rsid w:val="009137CC"/>
    <w:rsid w:val="00916067"/>
    <w:rsid w:val="0092344F"/>
    <w:rsid w:val="00924A65"/>
    <w:rsid w:val="0092593D"/>
    <w:rsid w:val="00925FEF"/>
    <w:rsid w:val="00941C1B"/>
    <w:rsid w:val="009478B1"/>
    <w:rsid w:val="00955D0F"/>
    <w:rsid w:val="00957FDC"/>
    <w:rsid w:val="00960CFD"/>
    <w:rsid w:val="00980F1B"/>
    <w:rsid w:val="00982F7C"/>
    <w:rsid w:val="009E1387"/>
    <w:rsid w:val="009E4D5F"/>
    <w:rsid w:val="00A04751"/>
    <w:rsid w:val="00A07E57"/>
    <w:rsid w:val="00A21080"/>
    <w:rsid w:val="00A56021"/>
    <w:rsid w:val="00A65518"/>
    <w:rsid w:val="00A9476F"/>
    <w:rsid w:val="00A9500D"/>
    <w:rsid w:val="00AF4103"/>
    <w:rsid w:val="00B01EC5"/>
    <w:rsid w:val="00B0240B"/>
    <w:rsid w:val="00B51207"/>
    <w:rsid w:val="00B60C6F"/>
    <w:rsid w:val="00B63E4F"/>
    <w:rsid w:val="00B75AC0"/>
    <w:rsid w:val="00B9352D"/>
    <w:rsid w:val="00B940C0"/>
    <w:rsid w:val="00BC41DA"/>
    <w:rsid w:val="00BC7DA1"/>
    <w:rsid w:val="00BE2B41"/>
    <w:rsid w:val="00BE3D9A"/>
    <w:rsid w:val="00BF3D4E"/>
    <w:rsid w:val="00C153C7"/>
    <w:rsid w:val="00C15EBD"/>
    <w:rsid w:val="00C34A28"/>
    <w:rsid w:val="00C369D7"/>
    <w:rsid w:val="00C431A4"/>
    <w:rsid w:val="00C8640E"/>
    <w:rsid w:val="00C86F0D"/>
    <w:rsid w:val="00CA287F"/>
    <w:rsid w:val="00CA6543"/>
    <w:rsid w:val="00CB26AC"/>
    <w:rsid w:val="00CC225A"/>
    <w:rsid w:val="00CD4C11"/>
    <w:rsid w:val="00CE661F"/>
    <w:rsid w:val="00D01C0E"/>
    <w:rsid w:val="00D04A1A"/>
    <w:rsid w:val="00D13251"/>
    <w:rsid w:val="00D51174"/>
    <w:rsid w:val="00D578A2"/>
    <w:rsid w:val="00D74E40"/>
    <w:rsid w:val="00D8770C"/>
    <w:rsid w:val="00D95251"/>
    <w:rsid w:val="00DA1BBC"/>
    <w:rsid w:val="00DE5D0D"/>
    <w:rsid w:val="00E06CDA"/>
    <w:rsid w:val="00E202C5"/>
    <w:rsid w:val="00E34A43"/>
    <w:rsid w:val="00E51F60"/>
    <w:rsid w:val="00EA7016"/>
    <w:rsid w:val="00EC0EAC"/>
    <w:rsid w:val="00EE48D6"/>
    <w:rsid w:val="00EF1221"/>
    <w:rsid w:val="00EF5118"/>
    <w:rsid w:val="00F036A4"/>
    <w:rsid w:val="00F07033"/>
    <w:rsid w:val="00F15706"/>
    <w:rsid w:val="00F57758"/>
    <w:rsid w:val="00F61A3E"/>
    <w:rsid w:val="00FA5E00"/>
    <w:rsid w:val="00FD448B"/>
    <w:rsid w:val="00FE2EDF"/>
    <w:rsid w:val="00FF02D9"/>
    <w:rsid w:val="00FF2918"/>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E390"/>
  <w15:chartTrackingRefBased/>
  <w15:docId w15:val="{AFC2C58F-25D4-8D4D-842A-0B75BC4E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048"/>
    <w:rPr>
      <w:color w:val="0563C1" w:themeColor="hyperlink"/>
      <w:u w:val="single"/>
    </w:rPr>
  </w:style>
  <w:style w:type="paragraph" w:styleId="Footer">
    <w:name w:val="footer"/>
    <w:basedOn w:val="Normal"/>
    <w:link w:val="FooterChar"/>
    <w:uiPriority w:val="99"/>
    <w:unhideWhenUsed/>
    <w:rsid w:val="002D1F2C"/>
    <w:pPr>
      <w:tabs>
        <w:tab w:val="center" w:pos="4680"/>
        <w:tab w:val="right" w:pos="9360"/>
      </w:tabs>
    </w:pPr>
  </w:style>
  <w:style w:type="character" w:customStyle="1" w:styleId="FooterChar">
    <w:name w:val="Footer Char"/>
    <w:basedOn w:val="DefaultParagraphFont"/>
    <w:link w:val="Footer"/>
    <w:uiPriority w:val="99"/>
    <w:rsid w:val="002D1F2C"/>
  </w:style>
  <w:style w:type="character" w:styleId="PageNumber">
    <w:name w:val="page number"/>
    <w:basedOn w:val="DefaultParagraphFont"/>
    <w:uiPriority w:val="99"/>
    <w:semiHidden/>
    <w:unhideWhenUsed/>
    <w:rsid w:val="002D1F2C"/>
  </w:style>
  <w:style w:type="paragraph" w:styleId="Header">
    <w:name w:val="header"/>
    <w:basedOn w:val="Normal"/>
    <w:link w:val="HeaderChar"/>
    <w:uiPriority w:val="99"/>
    <w:unhideWhenUsed/>
    <w:rsid w:val="002D1F2C"/>
    <w:pPr>
      <w:tabs>
        <w:tab w:val="center" w:pos="4680"/>
        <w:tab w:val="right" w:pos="9360"/>
      </w:tabs>
    </w:pPr>
  </w:style>
  <w:style w:type="character" w:customStyle="1" w:styleId="HeaderChar">
    <w:name w:val="Header Char"/>
    <w:basedOn w:val="DefaultParagraphFont"/>
    <w:link w:val="Header"/>
    <w:uiPriority w:val="99"/>
    <w:rsid w:val="002D1F2C"/>
  </w:style>
  <w:style w:type="character" w:styleId="UnresolvedMention">
    <w:name w:val="Unresolved Mention"/>
    <w:basedOn w:val="DefaultParagraphFont"/>
    <w:uiPriority w:val="99"/>
    <w:semiHidden/>
    <w:unhideWhenUsed/>
    <w:rsid w:val="000E7289"/>
    <w:rPr>
      <w:color w:val="605E5C"/>
      <w:shd w:val="clear" w:color="auto" w:fill="E1DFDD"/>
    </w:rPr>
  </w:style>
  <w:style w:type="character" w:styleId="FollowedHyperlink">
    <w:name w:val="FollowedHyperlink"/>
    <w:basedOn w:val="DefaultParagraphFont"/>
    <w:uiPriority w:val="99"/>
    <w:semiHidden/>
    <w:unhideWhenUsed/>
    <w:rsid w:val="00DE5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skawild.org/arctic-ocean/"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map.no/"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map.no/documents/download/1105/inlin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rdc.org/stories/permafrost-everything-you-need-know" TargetMode="External"/><Relationship Id="rId4" Type="http://schemas.openxmlformats.org/officeDocument/2006/relationships/footnotes" Target="footnotes.xml"/><Relationship Id="rId9" Type="http://schemas.openxmlformats.org/officeDocument/2006/relationships/hyperlink" Target="https://media.defense.gov/2024/Jul/22/2003507411/-1/-1/0/DOD-ARCTIC-STRATEGY-202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6</cp:revision>
  <dcterms:created xsi:type="dcterms:W3CDTF">2022-06-15T02:00:00Z</dcterms:created>
  <dcterms:modified xsi:type="dcterms:W3CDTF">2025-06-11T20:33:00Z</dcterms:modified>
</cp:coreProperties>
</file>