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Arial" w:cs="Arial" w:eastAsia="Arial" w:hAnsi="Arial"/>
          <w:b/>
          <w:bCs/>
          <w:color w:val="1F3864"/>
          <w:sz w:val="34"/>
          <w:szCs w:val="34"/>
        </w:rPr>
        <w:t xml:space="preserve">Health Insurance Structure Readiness Assessment</w:t>
      </w:r>
    </w:p>
    <w:p>
      <w:pPr>
        <w:spacing w:after="60"/>
      </w:pPr>
      <w:r>
        <w:rPr>
          <w:rFonts w:ascii="Arial" w:cs="Arial" w:eastAsia="Arial" w:hAnsi="Arial"/>
          <w:b/>
          <w:bCs/>
          <w:sz w:val="26"/>
          <w:szCs w:val="26"/>
        </w:rPr>
        <w:t xml:space="preserve">User Guide</w:t>
      </w:r>
    </w:p>
    <w:p>
      <w:pPr>
        <w:spacing w:after="240"/>
      </w:pPr>
      <w:r>
        <w:rPr>
          <w:rFonts w:ascii="Arial" w:cs="Arial" w:eastAsia="Arial" w:hAnsi="Arial"/>
          <w:i/>
          <w:iCs/>
          <w:sz w:val="21"/>
          <w:szCs w:val="21"/>
        </w:rPr>
        <w:t xml:space="preserve">How the assessment works, what each tab contains, and how to interpret your results.</w:t>
      </w:r>
    </w:p>
    <w:p>
      <w:pPr>
        <w:pStyle w:val="Heading1"/>
        <w:spacing w:after="140" w:before="320"/>
      </w:pPr>
      <w:r>
        <w:rPr>
          <w:rFonts w:ascii="Arial" w:cs="Arial" w:eastAsia="Arial" w:hAnsi="Arial"/>
          <w:b/>
          <w:bCs/>
          <w:color w:val="1F3864"/>
          <w:sz w:val="26"/>
          <w:szCs w:val="26"/>
        </w:rPr>
        <w:t xml:space="preserve">1.  What this tool does</w:t>
      </w:r>
    </w:p>
    <w:p>
      <w:pPr>
        <w:spacing w:after="120"/>
      </w:pPr>
      <w:r>
        <w:rPr>
          <w:rFonts w:ascii="Arial" w:cs="Arial" w:eastAsia="Arial" w:hAnsi="Arial"/>
          <w:b w:val="false"/>
          <w:bCs w:val="false"/>
          <w:i w:val="false"/>
          <w:iCs w:val="false"/>
          <w:sz w:val="21"/>
          <w:szCs w:val="21"/>
        </w:rPr>
        <w:t xml:space="preserve">The Health Insurance Structure Readiness Assessment helps charter and private school leaders evaluate how prepared their organization is to manage healthcare costs strategically across four pillars: Visibility, Structure Fit, Risk Management, and Strategy Cadence.</w:t>
      </w:r>
    </w:p>
    <w:p>
      <w:pPr>
        <w:spacing w:after="120"/>
      </w:pPr>
      <w:r>
        <w:rPr>
          <w:rFonts w:ascii="Arial" w:cs="Arial" w:eastAsia="Arial" w:hAnsi="Arial"/>
          <w:b w:val="false"/>
          <w:bCs w:val="false"/>
          <w:i w:val="false"/>
          <w:iCs w:val="false"/>
          <w:sz w:val="21"/>
          <w:szCs w:val="21"/>
        </w:rPr>
        <w:t xml:space="preserve">Health insurance is typically a top-three budget line item for schools — and one that many organizations manage as a once-a-year administrative event. This tool brings the key questions from a benefits strategy review into one place so leadership teams can step back, assess strengths and blind spots, and identify where to focus before the next renewal lands.</w:t>
      </w:r>
    </w:p>
    <w:p>
      <w:pPr>
        <w:spacing w:after="120"/>
      </w:pPr>
      <w:r>
        <w:rPr>
          <w:rFonts w:ascii="Arial" w:cs="Arial" w:eastAsia="Arial" w:hAnsi="Arial"/>
          <w:b w:val="false"/>
          <w:bCs w:val="false"/>
          <w:i w:val="false"/>
          <w:iCs w:val="false"/>
          <w:sz w:val="21"/>
          <w:szCs w:val="21"/>
        </w:rPr>
        <w:t xml:space="preserve">At a glance, it helps answer questions like:</w:t>
      </w:r>
    </w:p>
    <w:p>
      <w:pPr>
        <w:pStyle w:val="ListParagraph"/>
        <w:numPr>
          <w:ilvl w:val="0"/>
          <w:numId w:val="2"/>
        </w:numPr>
        <w:spacing w:after="80"/>
      </w:pPr>
      <w:r>
        <w:rPr>
          <w:rFonts w:ascii="Arial" w:cs="Arial" w:eastAsia="Arial" w:hAnsi="Arial"/>
          <w:sz w:val="21"/>
          <w:szCs w:val="21"/>
        </w:rPr>
        <w:t xml:space="preserve">Do we actually know what is driving our healthcare costs?</w:t>
      </w:r>
    </w:p>
    <w:p>
      <w:pPr>
        <w:pStyle w:val="ListParagraph"/>
        <w:numPr>
          <w:ilvl w:val="0"/>
          <w:numId w:val="2"/>
        </w:numPr>
        <w:spacing w:after="80"/>
      </w:pPr>
      <w:r>
        <w:rPr>
          <w:rFonts w:ascii="Arial" w:cs="Arial" w:eastAsia="Arial" w:hAnsi="Arial"/>
          <w:sz w:val="21"/>
          <w:szCs w:val="21"/>
        </w:rPr>
        <w:t xml:space="preserve">Does our current plan structure still fit our size and goals?</w:t>
      </w:r>
    </w:p>
    <w:p>
      <w:pPr>
        <w:pStyle w:val="ListParagraph"/>
        <w:numPr>
          <w:ilvl w:val="0"/>
          <w:numId w:val="2"/>
        </w:numPr>
        <w:spacing w:after="80"/>
      </w:pPr>
      <w:r>
        <w:rPr>
          <w:rFonts w:ascii="Arial" w:cs="Arial" w:eastAsia="Arial" w:hAnsi="Arial"/>
          <w:sz w:val="21"/>
          <w:szCs w:val="21"/>
        </w:rPr>
        <w:t xml:space="preserve">Do we know our maximum financial exposure — in a single number?</w:t>
      </w:r>
    </w:p>
    <w:p>
      <w:pPr>
        <w:pStyle w:val="ListParagraph"/>
        <w:numPr>
          <w:ilvl w:val="0"/>
          <w:numId w:val="2"/>
        </w:numPr>
        <w:spacing w:after="80"/>
      </w:pPr>
      <w:r>
        <w:rPr>
          <w:rFonts w:ascii="Arial" w:cs="Arial" w:eastAsia="Arial" w:hAnsi="Arial"/>
          <w:sz w:val="21"/>
          <w:szCs w:val="21"/>
        </w:rPr>
        <w:t xml:space="preserve">Are we managing benefits strategically all year, or reacting once a year at renewal?</w:t>
      </w:r>
    </w:p>
    <w:p>
      <w:pPr>
        <w:spacing w:after="120"/>
      </w:pPr>
      <w:r>
        <w:rPr>
          <w:rFonts w:ascii="Arial" w:cs="Arial" w:eastAsia="Arial" w:hAnsi="Arial"/>
          <w:b w:val="false"/>
          <w:bCs w:val="false"/>
          <w:i w:val="false"/>
          <w:iCs w:val="false"/>
          <w:sz w:val="21"/>
          <w:szCs w:val="21"/>
        </w:rPr>
        <w:t xml:space="preserve">This tool is designed to support reflection and planning. It does not replace advice from your broker, benefits advisor, or legal counsel — but it helps leadership teams structure the conversation and walk into renewal season with leverage.</w:t>
      </w:r>
    </w:p>
    <w:p>
      <w:pPr>
        <w:pStyle w:val="Heading1"/>
        <w:spacing w:after="140" w:before="320"/>
      </w:pPr>
      <w:r>
        <w:rPr>
          <w:rFonts w:ascii="Arial" w:cs="Arial" w:eastAsia="Arial" w:hAnsi="Arial"/>
          <w:b/>
          <w:bCs/>
          <w:color w:val="1F3864"/>
          <w:sz w:val="26"/>
          <w:szCs w:val="26"/>
        </w:rPr>
        <w:t xml:space="preserve">2.  The four tabs in the workbook</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2100"/>
        <w:gridCol w:w="3900"/>
        <w:gridCol w:w="3700"/>
      </w:tblGrid>
      <w:tr>
        <w:tc>
          <w:tcPr>
            <w:tcW w:type="dxa" w:w="2100"/>
            <w:shd w:fill="D9E2F3" w:val="clear"/>
            <w:tcMar>
              <w:top w:type="dxa" w:w="80"/>
              <w:left w:type="dxa" w:w="120"/>
              <w:bottom w:type="dxa" w:w="80"/>
              <w:right w:type="dxa" w:w="120"/>
            </w:tcMar>
          </w:tcPr>
          <w:p>
            <w:r>
              <w:rPr>
                <w:rFonts w:ascii="Arial" w:cs="Arial" w:eastAsia="Arial" w:hAnsi="Arial"/>
                <w:b/>
                <w:bCs/>
                <w:color w:val="000000"/>
                <w:sz w:val="20"/>
                <w:szCs w:val="20"/>
              </w:rPr>
              <w:t xml:space="preserve">Tab</w:t>
            </w:r>
          </w:p>
        </w:tc>
        <w:tc>
          <w:tcPr>
            <w:tcW w:type="dxa" w:w="3900"/>
            <w:shd w:fill="D9E2F3" w:val="clear"/>
            <w:tcMar>
              <w:top w:type="dxa" w:w="80"/>
              <w:left w:type="dxa" w:w="120"/>
              <w:bottom w:type="dxa" w:w="80"/>
              <w:right w:type="dxa" w:w="120"/>
            </w:tcMar>
          </w:tcPr>
          <w:p>
            <w:r>
              <w:rPr>
                <w:rFonts w:ascii="Arial" w:cs="Arial" w:eastAsia="Arial" w:hAnsi="Arial"/>
                <w:b/>
                <w:bCs/>
                <w:color w:val="000000"/>
                <w:sz w:val="20"/>
                <w:szCs w:val="20"/>
              </w:rPr>
              <w:t xml:space="preserve">What it contains</w:t>
            </w:r>
          </w:p>
        </w:tc>
        <w:tc>
          <w:tcPr>
            <w:tcW w:type="dxa" w:w="3700"/>
            <w:shd w:fill="D9E2F3" w:val="clear"/>
            <w:tcMar>
              <w:top w:type="dxa" w:w="80"/>
              <w:left w:type="dxa" w:w="120"/>
              <w:bottom w:type="dxa" w:w="80"/>
              <w:right w:type="dxa" w:w="120"/>
            </w:tcMar>
          </w:tcPr>
          <w:p>
            <w:r>
              <w:rPr>
                <w:rFonts w:ascii="Arial" w:cs="Arial" w:eastAsia="Arial" w:hAnsi="Arial"/>
                <w:b/>
                <w:bCs/>
                <w:color w:val="000000"/>
                <w:sz w:val="20"/>
                <w:szCs w:val="20"/>
              </w:rPr>
              <w:t xml:space="preserve">What it is used for</w:t>
            </w:r>
          </w:p>
        </w:tc>
      </w:tr>
      <w:tr>
        <w:tc>
          <w:tcPr>
            <w:tcW w:type="dxa" w:w="2100"/>
            <w:tcMar>
              <w:top w:type="dxa" w:w="80"/>
              <w:left w:type="dxa" w:w="120"/>
              <w:bottom w:type="dxa" w:w="80"/>
              <w:right w:type="dxa" w:w="120"/>
            </w:tcMar>
          </w:tcPr>
          <w:p>
            <w:r>
              <w:rPr>
                <w:rFonts w:ascii="Arial" w:cs="Arial" w:eastAsia="Arial" w:hAnsi="Arial"/>
                <w:b w:val="false"/>
                <w:bCs w:val="false"/>
                <w:color w:val="000000"/>
                <w:sz w:val="20"/>
                <w:szCs w:val="20"/>
              </w:rPr>
              <w:t xml:space="preserve">Instructions</w:t>
            </w:r>
          </w:p>
        </w:tc>
        <w:tc>
          <w:tcPr>
            <w:tcW w:type="dxa" w:w="3900"/>
            <w:tcMar>
              <w:top w:type="dxa" w:w="80"/>
              <w:left w:type="dxa" w:w="120"/>
              <w:bottom w:type="dxa" w:w="80"/>
              <w:right w:type="dxa" w:w="120"/>
            </w:tcMar>
          </w:tcPr>
          <w:p>
            <w:r>
              <w:rPr>
                <w:rFonts w:ascii="Arial" w:cs="Arial" w:eastAsia="Arial" w:hAnsi="Arial"/>
                <w:b w:val="false"/>
                <w:bCs w:val="false"/>
                <w:color w:val="000000"/>
                <w:sz w:val="20"/>
                <w:szCs w:val="20"/>
              </w:rPr>
              <w:t xml:space="preserve">A quick-start overview of how to use the workbook, how scoring works, and what not to edit.</w:t>
            </w:r>
          </w:p>
        </w:tc>
        <w:tc>
          <w:tcPr>
            <w:tcW w:type="dxa" w:w="3700"/>
            <w:tcMar>
              <w:top w:type="dxa" w:w="80"/>
              <w:left w:type="dxa" w:w="120"/>
              <w:bottom w:type="dxa" w:w="80"/>
              <w:right w:type="dxa" w:w="120"/>
            </w:tcMar>
          </w:tcPr>
          <w:p>
            <w:r>
              <w:rPr>
                <w:rFonts w:ascii="Arial" w:cs="Arial" w:eastAsia="Arial" w:hAnsi="Arial"/>
                <w:b w:val="false"/>
                <w:bCs w:val="false"/>
                <w:color w:val="000000"/>
                <w:sz w:val="20"/>
                <w:szCs w:val="20"/>
              </w:rPr>
              <w:t xml:space="preserve">Helps users understand the workflow before completing the assessment.</w:t>
            </w:r>
          </w:p>
        </w:tc>
      </w:tr>
      <w:tr>
        <w:tc>
          <w:tcPr>
            <w:tcW w:type="dxa" w:w="2100"/>
            <w:shd w:fill="F2F2F2" w:val="clear"/>
            <w:tcMar>
              <w:top w:type="dxa" w:w="80"/>
              <w:left w:type="dxa" w:w="120"/>
              <w:bottom w:type="dxa" w:w="80"/>
              <w:right w:type="dxa" w:w="120"/>
            </w:tcMar>
          </w:tcPr>
          <w:p>
            <w:r>
              <w:rPr>
                <w:rFonts w:ascii="Arial" w:cs="Arial" w:eastAsia="Arial" w:hAnsi="Arial"/>
                <w:b w:val="false"/>
                <w:bCs w:val="false"/>
                <w:color w:val="000000"/>
                <w:sz w:val="20"/>
                <w:szCs w:val="20"/>
              </w:rPr>
              <w:t xml:space="preserve">Organization Profile</w:t>
            </w:r>
          </w:p>
        </w:tc>
        <w:tc>
          <w:tcPr>
            <w:tcW w:type="dxa" w:w="3900"/>
            <w:shd w:fill="F2F2F2" w:val="clear"/>
            <w:tcMar>
              <w:top w:type="dxa" w:w="80"/>
              <w:left w:type="dxa" w:w="120"/>
              <w:bottom w:type="dxa" w:w="80"/>
              <w:right w:type="dxa" w:w="120"/>
            </w:tcMar>
          </w:tcPr>
          <w:p>
            <w:r>
              <w:rPr>
                <w:rFonts w:ascii="Arial" w:cs="Arial" w:eastAsia="Arial" w:hAnsi="Arial"/>
                <w:b w:val="false"/>
                <w:bCs w:val="false"/>
                <w:color w:val="000000"/>
                <w:sz w:val="20"/>
                <w:szCs w:val="20"/>
              </w:rPr>
              <w:t xml:space="preserve">Basic information about the school or network — including your number of benefit-eligible employees and current plan structure.</w:t>
            </w:r>
          </w:p>
        </w:tc>
        <w:tc>
          <w:tcPr>
            <w:tcW w:type="dxa" w:w="3700"/>
            <w:shd w:fill="F2F2F2" w:val="clear"/>
            <w:tcMar>
              <w:top w:type="dxa" w:w="80"/>
              <w:left w:type="dxa" w:w="120"/>
              <w:bottom w:type="dxa" w:w="80"/>
              <w:right w:type="dxa" w:w="120"/>
            </w:tcMar>
          </w:tcPr>
          <w:p>
            <w:r>
              <w:rPr>
                <w:rFonts w:ascii="Arial" w:cs="Arial" w:eastAsia="Arial" w:hAnsi="Arial"/>
                <w:b w:val="false"/>
                <w:bCs w:val="false"/>
                <w:color w:val="000000"/>
                <w:sz w:val="20"/>
                <w:szCs w:val="20"/>
              </w:rPr>
              <w:t xml:space="preserve">Provides context, and the employee count feeds the size-band guidance on the Dashboard.</w:t>
            </w:r>
          </w:p>
        </w:tc>
      </w:tr>
      <w:tr>
        <w:tc>
          <w:tcPr>
            <w:tcW w:type="dxa" w:w="2100"/>
            <w:tcMar>
              <w:top w:type="dxa" w:w="80"/>
              <w:left w:type="dxa" w:w="120"/>
              <w:bottom w:type="dxa" w:w="80"/>
              <w:right w:type="dxa" w:w="120"/>
            </w:tcMar>
          </w:tcPr>
          <w:p>
            <w:r>
              <w:rPr>
                <w:rFonts w:ascii="Arial" w:cs="Arial" w:eastAsia="Arial" w:hAnsi="Arial"/>
                <w:b w:val="false"/>
                <w:bCs w:val="false"/>
                <w:color w:val="000000"/>
                <w:sz w:val="20"/>
                <w:szCs w:val="20"/>
              </w:rPr>
              <w:t xml:space="preserve">Assessment</w:t>
            </w:r>
          </w:p>
        </w:tc>
        <w:tc>
          <w:tcPr>
            <w:tcW w:type="dxa" w:w="3900"/>
            <w:tcMar>
              <w:top w:type="dxa" w:w="80"/>
              <w:left w:type="dxa" w:w="120"/>
              <w:bottom w:type="dxa" w:w="80"/>
              <w:right w:type="dxa" w:w="120"/>
            </w:tcMar>
          </w:tcPr>
          <w:p>
            <w:r>
              <w:rPr>
                <w:rFonts w:ascii="Arial" w:cs="Arial" w:eastAsia="Arial" w:hAnsi="Arial"/>
                <w:b w:val="false"/>
                <w:bCs w:val="false"/>
                <w:color w:val="000000"/>
                <w:sz w:val="20"/>
                <w:szCs w:val="20"/>
              </w:rPr>
              <w:t xml:space="preserve">The core self-assessment tab. Leaders rate 20 statements across four pillars using a 1–5 scale.</w:t>
            </w:r>
          </w:p>
        </w:tc>
        <w:tc>
          <w:tcPr>
            <w:tcW w:type="dxa" w:w="3700"/>
            <w:tcMar>
              <w:top w:type="dxa" w:w="80"/>
              <w:left w:type="dxa" w:w="120"/>
              <w:bottom w:type="dxa" w:w="80"/>
              <w:right w:type="dxa" w:w="120"/>
            </w:tcMar>
          </w:tcPr>
          <w:p>
            <w:r>
              <w:rPr>
                <w:rFonts w:ascii="Arial" w:cs="Arial" w:eastAsia="Arial" w:hAnsi="Arial"/>
                <w:b w:val="false"/>
                <w:bCs w:val="false"/>
                <w:color w:val="000000"/>
                <w:sz w:val="20"/>
                <w:szCs w:val="20"/>
              </w:rPr>
              <w:t xml:space="preserve">Feeds the Dashboard score, pillar scores, and recommended focus areas.</w:t>
            </w:r>
          </w:p>
        </w:tc>
      </w:tr>
      <w:tr>
        <w:tc>
          <w:tcPr>
            <w:tcW w:type="dxa" w:w="2100"/>
            <w:shd w:fill="F2F2F2" w:val="clear"/>
            <w:tcMar>
              <w:top w:type="dxa" w:w="80"/>
              <w:left w:type="dxa" w:w="120"/>
              <w:bottom w:type="dxa" w:w="80"/>
              <w:right w:type="dxa" w:w="120"/>
            </w:tcMar>
          </w:tcPr>
          <w:p>
            <w:r>
              <w:rPr>
                <w:rFonts w:ascii="Arial" w:cs="Arial" w:eastAsia="Arial" w:hAnsi="Arial"/>
                <w:b w:val="false"/>
                <w:bCs w:val="false"/>
                <w:color w:val="000000"/>
                <w:sz w:val="20"/>
                <w:szCs w:val="20"/>
              </w:rPr>
              <w:t xml:space="preserve">Dashboard</w:t>
            </w:r>
          </w:p>
        </w:tc>
        <w:tc>
          <w:tcPr>
            <w:tcW w:type="dxa" w:w="3900"/>
            <w:shd w:fill="F2F2F2" w:val="clear"/>
            <w:tcMar>
              <w:top w:type="dxa" w:w="80"/>
              <w:left w:type="dxa" w:w="120"/>
              <w:bottom w:type="dxa" w:w="80"/>
              <w:right w:type="dxa" w:w="120"/>
            </w:tcMar>
          </w:tcPr>
          <w:p>
            <w:r>
              <w:rPr>
                <w:rFonts w:ascii="Arial" w:cs="Arial" w:eastAsia="Arial" w:hAnsi="Arial"/>
                <w:b w:val="false"/>
                <w:bCs w:val="false"/>
                <w:color w:val="000000"/>
                <w:sz w:val="20"/>
                <w:szCs w:val="20"/>
              </w:rPr>
              <w:t xml:space="preserve">The executive summary: overall score, readiness status, pillar scores, strongest pillar, pillar needing most attention, and size-band structure guidance.</w:t>
            </w:r>
          </w:p>
        </w:tc>
        <w:tc>
          <w:tcPr>
            <w:tcW w:type="dxa" w:w="3700"/>
            <w:shd w:fill="F2F2F2" w:val="clear"/>
            <w:tcMar>
              <w:top w:type="dxa" w:w="80"/>
              <w:left w:type="dxa" w:w="120"/>
              <w:bottom w:type="dxa" w:w="80"/>
              <w:right w:type="dxa" w:w="120"/>
            </w:tcMar>
          </w:tcPr>
          <w:p>
            <w:r>
              <w:rPr>
                <w:rFonts w:ascii="Arial" w:cs="Arial" w:eastAsia="Arial" w:hAnsi="Arial"/>
                <w:b w:val="false"/>
                <w:bCs w:val="false"/>
                <w:color w:val="000000"/>
                <w:sz w:val="20"/>
                <w:szCs w:val="20"/>
              </w:rPr>
              <w:t xml:space="preserve">Used in leadership meetings, board discussions, and broker conversations.</w:t>
            </w:r>
          </w:p>
        </w:tc>
      </w:tr>
    </w:tbl>
    <w:p>
      <w:pPr>
        <w:pStyle w:val="Heading1"/>
        <w:spacing w:after="140" w:before="320"/>
      </w:pPr>
      <w:r>
        <w:rPr>
          <w:rFonts w:ascii="Arial" w:cs="Arial" w:eastAsia="Arial" w:hAnsi="Arial"/>
          <w:b/>
          <w:bCs/>
          <w:color w:val="1F3864"/>
          <w:sz w:val="26"/>
          <w:szCs w:val="26"/>
        </w:rPr>
        <w:t xml:space="preserve">3.  The four pillars</w:t>
      </w:r>
    </w:p>
    <w:p>
      <w:pPr>
        <w:spacing w:after="120"/>
      </w:pPr>
      <w:r>
        <w:rPr>
          <w:rFonts w:ascii="Arial" w:cs="Arial" w:eastAsia="Arial" w:hAnsi="Arial"/>
          <w:b w:val="false"/>
          <w:bCs w:val="false"/>
          <w:i w:val="false"/>
          <w:iCs w:val="false"/>
          <w:sz w:val="21"/>
          <w:szCs w:val="21"/>
        </w:rPr>
        <w:t xml:space="preserve">The assessment evaluates benefits readiness across four pillars:</w:t>
      </w:r>
    </w:p>
    <w:p>
      <w:pPr>
        <w:spacing w:after="120"/>
      </w:pPr>
      <w:r>
        <w:rPr>
          <w:rFonts w:ascii="Arial" w:cs="Arial" w:eastAsia="Arial" w:hAnsi="Arial"/>
          <w:b/>
          <w:bCs/>
          <w:i w:val="false"/>
          <w:iCs w:val="false"/>
          <w:sz w:val="21"/>
          <w:szCs w:val="21"/>
        </w:rPr>
        <w:t xml:space="preserve">Pillar 1 — Visibility</w:t>
      </w:r>
    </w:p>
    <w:p>
      <w:pPr>
        <w:spacing w:after="120"/>
      </w:pPr>
      <w:r>
        <w:rPr>
          <w:rFonts w:ascii="Arial" w:cs="Arial" w:eastAsia="Arial" w:hAnsi="Arial"/>
          <w:b w:val="false"/>
          <w:bCs w:val="false"/>
          <w:i w:val="false"/>
          <w:iCs w:val="false"/>
          <w:sz w:val="21"/>
          <w:szCs w:val="21"/>
        </w:rPr>
        <w:t xml:space="preserve">Whether you can see your claims data, cost drivers, and how your renewal is actually priced. Schools cannot manage what they cannot see — and on many plan structures, the renewal arrives as a single number with no breakdown.</w:t>
      </w:r>
    </w:p>
    <w:p>
      <w:pPr>
        <w:spacing w:after="120"/>
      </w:pPr>
      <w:r>
        <w:rPr>
          <w:rFonts w:ascii="Arial" w:cs="Arial" w:eastAsia="Arial" w:hAnsi="Arial"/>
          <w:b/>
          <w:bCs/>
          <w:i w:val="false"/>
          <w:iCs w:val="false"/>
          <w:sz w:val="21"/>
          <w:szCs w:val="21"/>
        </w:rPr>
        <w:t xml:space="preserve">Pillar 2 — Structure Fit</w:t>
      </w:r>
    </w:p>
    <w:p>
      <w:pPr>
        <w:spacing w:after="120"/>
      </w:pPr>
      <w:r>
        <w:rPr>
          <w:rFonts w:ascii="Arial" w:cs="Arial" w:eastAsia="Arial" w:hAnsi="Arial"/>
          <w:b w:val="false"/>
          <w:bCs w:val="false"/>
          <w:i w:val="false"/>
          <w:iCs w:val="false"/>
          <w:sz w:val="21"/>
          <w:szCs w:val="21"/>
        </w:rPr>
        <w:t xml:space="preserve">Whether your current plan structure — fully insured, level-funded, self-funded, or group captive — still matches your employee count and goals. The structure that fit at 40 employees is probably not optimal at 140.</w:t>
      </w:r>
    </w:p>
    <w:p>
      <w:pPr>
        <w:spacing w:after="120"/>
      </w:pPr>
      <w:r>
        <w:rPr>
          <w:rFonts w:ascii="Arial" w:cs="Arial" w:eastAsia="Arial" w:hAnsi="Arial"/>
          <w:b/>
          <w:bCs/>
          <w:i w:val="false"/>
          <w:iCs w:val="false"/>
          <w:sz w:val="21"/>
          <w:szCs w:val="21"/>
        </w:rPr>
        <w:t xml:space="preserve">Pillar 3 — Risk Management</w:t>
      </w:r>
    </w:p>
    <w:p>
      <w:pPr>
        <w:spacing w:after="120"/>
      </w:pPr>
      <w:r>
        <w:rPr>
          <w:rFonts w:ascii="Arial" w:cs="Arial" w:eastAsia="Arial" w:hAnsi="Arial"/>
          <w:b w:val="false"/>
          <w:bCs w:val="false"/>
          <w:i w:val="false"/>
          <w:iCs w:val="false"/>
          <w:sz w:val="21"/>
          <w:szCs w:val="21"/>
        </w:rPr>
        <w:t xml:space="preserve">Whether your maximum financial exposure is defined, understood, and discussed at the board level — including how stop loss coverage caps both individual high-cost claims and total annual claims.</w:t>
      </w:r>
    </w:p>
    <w:p>
      <w:pPr>
        <w:spacing w:after="120"/>
      </w:pPr>
      <w:r>
        <w:rPr>
          <w:rFonts w:ascii="Arial" w:cs="Arial" w:eastAsia="Arial" w:hAnsi="Arial"/>
          <w:b/>
          <w:bCs/>
          <w:i w:val="false"/>
          <w:iCs w:val="false"/>
          <w:sz w:val="21"/>
          <w:szCs w:val="21"/>
        </w:rPr>
        <w:t xml:space="preserve">Pillar 4 — Strategy Cadence</w:t>
      </w:r>
    </w:p>
    <w:p>
      <w:pPr>
        <w:spacing w:after="120"/>
      </w:pPr>
      <w:r>
        <w:rPr>
          <w:rFonts w:ascii="Arial" w:cs="Arial" w:eastAsia="Arial" w:hAnsi="Arial"/>
          <w:b w:val="false"/>
          <w:bCs w:val="false"/>
          <w:i w:val="false"/>
          <w:iCs w:val="false"/>
          <w:sz w:val="21"/>
          <w:szCs w:val="21"/>
        </w:rPr>
        <w:t xml:space="preserve">Whether benefits strategy is a year-round discipline with a clear owner, or a once-a-year scramble that begins when the renewal notice arrives.</w:t>
      </w:r>
    </w:p>
    <w:p>
      <w:pPr>
        <w:pStyle w:val="Heading1"/>
        <w:spacing w:after="140" w:before="320"/>
      </w:pPr>
      <w:r>
        <w:rPr>
          <w:rFonts w:ascii="Arial" w:cs="Arial" w:eastAsia="Arial" w:hAnsi="Arial"/>
          <w:b/>
          <w:bCs/>
          <w:color w:val="1F3864"/>
          <w:sz w:val="26"/>
          <w:szCs w:val="26"/>
        </w:rPr>
        <w:t xml:space="preserve">4.  How to complete the assessment</w:t>
      </w:r>
    </w:p>
    <w:p>
      <w:pPr>
        <w:spacing w:after="120"/>
      </w:pPr>
      <w:r>
        <w:rPr>
          <w:rFonts w:ascii="Arial" w:cs="Arial" w:eastAsia="Arial" w:hAnsi="Arial"/>
          <w:b w:val="false"/>
          <w:bCs w:val="false"/>
          <w:i w:val="false"/>
          <w:iCs w:val="false"/>
          <w:sz w:val="21"/>
          <w:szCs w:val="21"/>
        </w:rPr>
        <w:t xml:space="preserve">In the Assessment tab, each of the 20 statements is rated on a 1–5 scale:</w:t>
      </w:r>
    </w:p>
    <w:tbl>
      <w:tblPr>
        <w:tblW w:type="dxa" w:w="7400"/>
        <w:tblBorders>
          <w:top w:val="single" w:color="auto" w:sz="4"/>
          <w:left w:val="single" w:color="auto" w:sz="4"/>
          <w:bottom w:val="single" w:color="auto" w:sz="4"/>
          <w:right w:val="single" w:color="auto" w:sz="4"/>
          <w:insideH w:val="single" w:color="auto" w:sz="4"/>
          <w:insideV w:val="single" w:color="auto" w:sz="4"/>
        </w:tblBorders>
      </w:tblPr>
      <w:tblGrid>
        <w:gridCol w:w="1400"/>
        <w:gridCol w:w="6000"/>
      </w:tblGrid>
      <w:tr>
        <w:tc>
          <w:tcPr>
            <w:tcW w:type="dxa" w:w="1400"/>
            <w:shd w:fill="D9E2F3" w:val="clear"/>
            <w:tcMar>
              <w:top w:type="dxa" w:w="80"/>
              <w:left w:type="dxa" w:w="120"/>
              <w:bottom w:type="dxa" w:w="80"/>
              <w:right w:type="dxa" w:w="120"/>
            </w:tcMar>
          </w:tcPr>
          <w:p>
            <w:r>
              <w:rPr>
                <w:rFonts w:ascii="Arial" w:cs="Arial" w:eastAsia="Arial" w:hAnsi="Arial"/>
                <w:b/>
                <w:bCs/>
                <w:color w:val="000000"/>
                <w:sz w:val="20"/>
                <w:szCs w:val="20"/>
              </w:rPr>
              <w:t xml:space="preserve">Score</w:t>
            </w:r>
          </w:p>
        </w:tc>
        <w:tc>
          <w:tcPr>
            <w:tcW w:type="dxa" w:w="6000"/>
            <w:shd w:fill="D9E2F3" w:val="clear"/>
            <w:tcMar>
              <w:top w:type="dxa" w:w="80"/>
              <w:left w:type="dxa" w:w="120"/>
              <w:bottom w:type="dxa" w:w="80"/>
              <w:right w:type="dxa" w:w="120"/>
            </w:tcMar>
          </w:tcPr>
          <w:p>
            <w:r>
              <w:rPr>
                <w:rFonts w:ascii="Arial" w:cs="Arial" w:eastAsia="Arial" w:hAnsi="Arial"/>
                <w:b/>
                <w:bCs/>
                <w:color w:val="000000"/>
                <w:sz w:val="20"/>
                <w:szCs w:val="20"/>
              </w:rPr>
              <w:t xml:space="preserve">What it means</w:t>
            </w:r>
          </w:p>
        </w:tc>
      </w:tr>
      <w:tr>
        <w:tc>
          <w:tcPr>
            <w:tcW w:type="dxa" w:w="1400"/>
            <w:tcMar>
              <w:top w:type="dxa" w:w="80"/>
              <w:left w:type="dxa" w:w="120"/>
              <w:bottom w:type="dxa" w:w="80"/>
              <w:right w:type="dxa" w:w="120"/>
            </w:tcMar>
          </w:tcPr>
          <w:p>
            <w:r>
              <w:rPr>
                <w:rFonts w:ascii="Arial" w:cs="Arial" w:eastAsia="Arial" w:hAnsi="Arial"/>
                <w:b w:val="false"/>
                <w:bCs w:val="false"/>
                <w:color w:val="000000"/>
                <w:sz w:val="20"/>
                <w:szCs w:val="20"/>
              </w:rPr>
              <w:t xml:space="preserve">1</w:t>
            </w:r>
          </w:p>
        </w:tc>
        <w:tc>
          <w:tcPr>
            <w:tcW w:type="dxa" w:w="6000"/>
            <w:tcMar>
              <w:top w:type="dxa" w:w="80"/>
              <w:left w:type="dxa" w:w="120"/>
              <w:bottom w:type="dxa" w:w="80"/>
              <w:right w:type="dxa" w:w="120"/>
            </w:tcMar>
          </w:tcPr>
          <w:p>
            <w:r>
              <w:rPr>
                <w:rFonts w:ascii="Arial" w:cs="Arial" w:eastAsia="Arial" w:hAnsi="Arial"/>
                <w:b w:val="false"/>
                <w:bCs w:val="false"/>
                <w:color w:val="000000"/>
                <w:sz w:val="20"/>
                <w:szCs w:val="20"/>
              </w:rPr>
              <w:t xml:space="preserve">Not in place</w:t>
            </w:r>
          </w:p>
        </w:tc>
      </w:tr>
      <w:tr>
        <w:tc>
          <w:tcPr>
            <w:tcW w:type="dxa" w:w="1400"/>
            <w:shd w:fill="F2F2F2" w:val="clear"/>
            <w:tcMar>
              <w:top w:type="dxa" w:w="80"/>
              <w:left w:type="dxa" w:w="120"/>
              <w:bottom w:type="dxa" w:w="80"/>
              <w:right w:type="dxa" w:w="120"/>
            </w:tcMar>
          </w:tcPr>
          <w:p>
            <w:r>
              <w:rPr>
                <w:rFonts w:ascii="Arial" w:cs="Arial" w:eastAsia="Arial" w:hAnsi="Arial"/>
                <w:b w:val="false"/>
                <w:bCs w:val="false"/>
                <w:color w:val="000000"/>
                <w:sz w:val="20"/>
                <w:szCs w:val="20"/>
              </w:rPr>
              <w:t xml:space="preserve">2</w:t>
            </w:r>
          </w:p>
        </w:tc>
        <w:tc>
          <w:tcPr>
            <w:tcW w:type="dxa" w:w="6000"/>
            <w:shd w:fill="F2F2F2" w:val="clear"/>
            <w:tcMar>
              <w:top w:type="dxa" w:w="80"/>
              <w:left w:type="dxa" w:w="120"/>
              <w:bottom w:type="dxa" w:w="80"/>
              <w:right w:type="dxa" w:w="120"/>
            </w:tcMar>
          </w:tcPr>
          <w:p>
            <w:r>
              <w:rPr>
                <w:rFonts w:ascii="Arial" w:cs="Arial" w:eastAsia="Arial" w:hAnsi="Arial"/>
                <w:b w:val="false"/>
                <w:bCs w:val="false"/>
                <w:color w:val="000000"/>
                <w:sz w:val="20"/>
                <w:szCs w:val="20"/>
              </w:rPr>
              <w:t xml:space="preserve">Limited progress</w:t>
            </w:r>
          </w:p>
        </w:tc>
      </w:tr>
      <w:tr>
        <w:tc>
          <w:tcPr>
            <w:tcW w:type="dxa" w:w="1400"/>
            <w:tcMar>
              <w:top w:type="dxa" w:w="80"/>
              <w:left w:type="dxa" w:w="120"/>
              <w:bottom w:type="dxa" w:w="80"/>
              <w:right w:type="dxa" w:w="120"/>
            </w:tcMar>
          </w:tcPr>
          <w:p>
            <w:r>
              <w:rPr>
                <w:rFonts w:ascii="Arial" w:cs="Arial" w:eastAsia="Arial" w:hAnsi="Arial"/>
                <w:b w:val="false"/>
                <w:bCs w:val="false"/>
                <w:color w:val="000000"/>
                <w:sz w:val="20"/>
                <w:szCs w:val="20"/>
              </w:rPr>
              <w:t xml:space="preserve">3</w:t>
            </w:r>
          </w:p>
        </w:tc>
        <w:tc>
          <w:tcPr>
            <w:tcW w:type="dxa" w:w="6000"/>
            <w:tcMar>
              <w:top w:type="dxa" w:w="80"/>
              <w:left w:type="dxa" w:w="120"/>
              <w:bottom w:type="dxa" w:w="80"/>
              <w:right w:type="dxa" w:w="120"/>
            </w:tcMar>
          </w:tcPr>
          <w:p>
            <w:r>
              <w:rPr>
                <w:rFonts w:ascii="Arial" w:cs="Arial" w:eastAsia="Arial" w:hAnsi="Arial"/>
                <w:b w:val="false"/>
                <w:bCs w:val="false"/>
                <w:color w:val="000000"/>
                <w:sz w:val="20"/>
                <w:szCs w:val="20"/>
              </w:rPr>
              <w:t xml:space="preserve">Partially in place</w:t>
            </w:r>
          </w:p>
        </w:tc>
      </w:tr>
      <w:tr>
        <w:tc>
          <w:tcPr>
            <w:tcW w:type="dxa" w:w="1400"/>
            <w:shd w:fill="F2F2F2" w:val="clear"/>
            <w:tcMar>
              <w:top w:type="dxa" w:w="80"/>
              <w:left w:type="dxa" w:w="120"/>
              <w:bottom w:type="dxa" w:w="80"/>
              <w:right w:type="dxa" w:w="120"/>
            </w:tcMar>
          </w:tcPr>
          <w:p>
            <w:r>
              <w:rPr>
                <w:rFonts w:ascii="Arial" w:cs="Arial" w:eastAsia="Arial" w:hAnsi="Arial"/>
                <w:b w:val="false"/>
                <w:bCs w:val="false"/>
                <w:color w:val="000000"/>
                <w:sz w:val="20"/>
                <w:szCs w:val="20"/>
              </w:rPr>
              <w:t xml:space="preserve">4</w:t>
            </w:r>
          </w:p>
        </w:tc>
        <w:tc>
          <w:tcPr>
            <w:tcW w:type="dxa" w:w="6000"/>
            <w:shd w:fill="F2F2F2" w:val="clear"/>
            <w:tcMar>
              <w:top w:type="dxa" w:w="80"/>
              <w:left w:type="dxa" w:w="120"/>
              <w:bottom w:type="dxa" w:w="80"/>
              <w:right w:type="dxa" w:w="120"/>
            </w:tcMar>
          </w:tcPr>
          <w:p>
            <w:r>
              <w:rPr>
                <w:rFonts w:ascii="Arial" w:cs="Arial" w:eastAsia="Arial" w:hAnsi="Arial"/>
                <w:b w:val="false"/>
                <w:bCs w:val="false"/>
                <w:color w:val="000000"/>
                <w:sz w:val="20"/>
                <w:szCs w:val="20"/>
              </w:rPr>
              <w:t xml:space="preserve">Mostly in place</w:t>
            </w:r>
          </w:p>
        </w:tc>
      </w:tr>
      <w:tr>
        <w:tc>
          <w:tcPr>
            <w:tcW w:type="dxa" w:w="1400"/>
            <w:tcMar>
              <w:top w:type="dxa" w:w="80"/>
              <w:left w:type="dxa" w:w="120"/>
              <w:bottom w:type="dxa" w:w="80"/>
              <w:right w:type="dxa" w:w="120"/>
            </w:tcMar>
          </w:tcPr>
          <w:p>
            <w:r>
              <w:rPr>
                <w:rFonts w:ascii="Arial" w:cs="Arial" w:eastAsia="Arial" w:hAnsi="Arial"/>
                <w:b w:val="false"/>
                <w:bCs w:val="false"/>
                <w:color w:val="000000"/>
                <w:sz w:val="20"/>
                <w:szCs w:val="20"/>
              </w:rPr>
              <w:t xml:space="preserve">5</w:t>
            </w:r>
          </w:p>
        </w:tc>
        <w:tc>
          <w:tcPr>
            <w:tcW w:type="dxa" w:w="6000"/>
            <w:tcMar>
              <w:top w:type="dxa" w:w="80"/>
              <w:left w:type="dxa" w:w="120"/>
              <w:bottom w:type="dxa" w:w="80"/>
              <w:right w:type="dxa" w:w="120"/>
            </w:tcMar>
          </w:tcPr>
          <w:p>
            <w:r>
              <w:rPr>
                <w:rFonts w:ascii="Arial" w:cs="Arial" w:eastAsia="Arial" w:hAnsi="Arial"/>
                <w:b w:val="false"/>
                <w:bCs w:val="false"/>
                <w:color w:val="000000"/>
                <w:sz w:val="20"/>
                <w:szCs w:val="20"/>
              </w:rPr>
              <w:t xml:space="preserve">Fully in place</w:t>
            </w:r>
          </w:p>
        </w:tc>
      </w:tr>
    </w:tbl>
    <w:p>
      <w:pPr>
        <w:spacing w:after="120"/>
      </w:pPr>
      <w:r>
        <w:rPr>
          <w:rFonts w:ascii="Arial" w:cs="Arial" w:eastAsia="Arial" w:hAnsi="Arial"/>
          <w:b/>
          <w:bCs/>
          <w:i w:val="false"/>
          <w:iCs w:val="false"/>
          <w:sz w:val="21"/>
          <w:szCs w:val="21"/>
        </w:rPr>
        <w:t xml:space="preserve">The goal is not to score high. The goal is to answer honestly so the results reflect your organization’s current reality. If you cannot answer a statement — for example, you do not know your loss ratio or whether your renewal is experience-rated — score it a 1 or 2. Not knowing is itself the finding.</w:t>
      </w:r>
    </w:p>
    <w:p>
      <w:pPr>
        <w:spacing w:after="120"/>
      </w:pPr>
      <w:r>
        <w:rPr>
          <w:rFonts w:ascii="Arial" w:cs="Arial" w:eastAsia="Arial" w:hAnsi="Arial"/>
          <w:b w:val="false"/>
          <w:bCs w:val="false"/>
          <w:i w:val="false"/>
          <w:iCs w:val="false"/>
          <w:sz w:val="21"/>
          <w:szCs w:val="21"/>
        </w:rPr>
        <w:t xml:space="preserve">A good way to use this tool is to complete it with the leadership team members closest to finance and HR — ideally together. That tends to create better discussion and a more balanced picture of where the organization actually stands.</w:t>
      </w:r>
    </w:p>
    <w:p>
      <w:pPr>
        <w:pStyle w:val="Heading1"/>
        <w:spacing w:after="140" w:before="320"/>
      </w:pPr>
      <w:r>
        <w:rPr>
          <w:rFonts w:ascii="Arial" w:cs="Arial" w:eastAsia="Arial" w:hAnsi="Arial"/>
          <w:b/>
          <w:bCs/>
          <w:color w:val="1F3864"/>
          <w:sz w:val="26"/>
          <w:szCs w:val="26"/>
        </w:rPr>
        <w:t xml:space="preserve">5.  How the Overall Readiness Score is calculated</w:t>
      </w:r>
    </w:p>
    <w:p>
      <w:pPr>
        <w:spacing w:after="120"/>
      </w:pPr>
      <w:r>
        <w:rPr>
          <w:rFonts w:ascii="Arial" w:cs="Arial" w:eastAsia="Arial" w:hAnsi="Arial"/>
          <w:b w:val="false"/>
          <w:bCs w:val="false"/>
          <w:i w:val="false"/>
          <w:iCs w:val="false"/>
          <w:sz w:val="21"/>
          <w:szCs w:val="21"/>
        </w:rPr>
        <w:t xml:space="preserve">The Overall Readiness Score is the average of the four pillar scores, converted to a 0–100 scale.</w:t>
      </w:r>
    </w:p>
    <w:p>
      <w:pPr>
        <w:spacing w:after="120"/>
      </w:pPr>
      <w:r>
        <w:rPr>
          <w:rFonts w:ascii="Arial" w:cs="Arial" w:eastAsia="Arial" w:hAnsi="Arial"/>
          <w:b w:val="false"/>
          <w:bCs w:val="false"/>
          <w:i w:val="false"/>
          <w:iCs w:val="false"/>
          <w:sz w:val="21"/>
          <w:szCs w:val="21"/>
        </w:rPr>
        <w:t xml:space="preserve">Each pillar score is the average of the five responses within that pillar. The four pillar averages are then averaged and multiplied by 20 to produce a score out of 100. All four pillars are weighted equally.</w:t>
      </w:r>
    </w:p>
    <w:p>
      <w:pPr>
        <w:pStyle w:val="Heading1"/>
        <w:spacing w:after="140" w:before="320"/>
      </w:pPr>
      <w:r>
        <w:rPr>
          <w:rFonts w:ascii="Arial" w:cs="Arial" w:eastAsia="Arial" w:hAnsi="Arial"/>
          <w:b/>
          <w:bCs/>
          <w:color w:val="1F3864"/>
          <w:sz w:val="26"/>
          <w:szCs w:val="26"/>
        </w:rPr>
        <w:t xml:space="preserve">6.  How to interpret the Overall Readiness Score</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1500"/>
        <w:gridCol w:w="2900"/>
        <w:gridCol w:w="5300"/>
      </w:tblGrid>
      <w:tr>
        <w:tc>
          <w:tcPr>
            <w:tcW w:type="dxa" w:w="1500"/>
            <w:shd w:fill="D9E2F3" w:val="clear"/>
            <w:tcMar>
              <w:top w:type="dxa" w:w="80"/>
              <w:left w:type="dxa" w:w="120"/>
              <w:bottom w:type="dxa" w:w="80"/>
              <w:right w:type="dxa" w:w="120"/>
            </w:tcMar>
          </w:tcPr>
          <w:p>
            <w:r>
              <w:rPr>
                <w:rFonts w:ascii="Arial" w:cs="Arial" w:eastAsia="Arial" w:hAnsi="Arial"/>
                <w:b/>
                <w:bCs/>
                <w:color w:val="000000"/>
                <w:sz w:val="20"/>
                <w:szCs w:val="20"/>
              </w:rPr>
              <w:t xml:space="preserve">Score</w:t>
            </w:r>
          </w:p>
        </w:tc>
        <w:tc>
          <w:tcPr>
            <w:tcW w:type="dxa" w:w="2900"/>
            <w:shd w:fill="D9E2F3" w:val="clear"/>
            <w:tcMar>
              <w:top w:type="dxa" w:w="80"/>
              <w:left w:type="dxa" w:w="120"/>
              <w:bottom w:type="dxa" w:w="80"/>
              <w:right w:type="dxa" w:w="120"/>
            </w:tcMar>
          </w:tcPr>
          <w:p>
            <w:r>
              <w:rPr>
                <w:rFonts w:ascii="Arial" w:cs="Arial" w:eastAsia="Arial" w:hAnsi="Arial"/>
                <w:b/>
                <w:bCs/>
                <w:color w:val="000000"/>
                <w:sz w:val="20"/>
                <w:szCs w:val="20"/>
              </w:rPr>
              <w:t xml:space="preserve">Readiness Status</w:t>
            </w:r>
          </w:p>
        </w:tc>
        <w:tc>
          <w:tcPr>
            <w:tcW w:type="dxa" w:w="5300"/>
            <w:shd w:fill="D9E2F3" w:val="clear"/>
            <w:tcMar>
              <w:top w:type="dxa" w:w="80"/>
              <w:left w:type="dxa" w:w="120"/>
              <w:bottom w:type="dxa" w:w="80"/>
              <w:right w:type="dxa" w:w="120"/>
            </w:tcMar>
          </w:tcPr>
          <w:p>
            <w:r>
              <w:rPr>
                <w:rFonts w:ascii="Arial" w:cs="Arial" w:eastAsia="Arial" w:hAnsi="Arial"/>
                <w:b/>
                <w:bCs/>
                <w:color w:val="000000"/>
                <w:sz w:val="20"/>
                <w:szCs w:val="20"/>
              </w:rPr>
              <w:t xml:space="preserve">What it generally means</w:t>
            </w:r>
          </w:p>
        </w:tc>
      </w:tr>
      <w:tr>
        <w:tc>
          <w:tcPr>
            <w:tcW w:type="dxa" w:w="1500"/>
            <w:tcMar>
              <w:top w:type="dxa" w:w="80"/>
              <w:left w:type="dxa" w:w="120"/>
              <w:bottom w:type="dxa" w:w="80"/>
              <w:right w:type="dxa" w:w="120"/>
            </w:tcMar>
          </w:tcPr>
          <w:p>
            <w:r>
              <w:rPr>
                <w:rFonts w:ascii="Arial" w:cs="Arial" w:eastAsia="Arial" w:hAnsi="Arial"/>
                <w:b w:val="false"/>
                <w:bCs w:val="false"/>
                <w:color w:val="000000"/>
                <w:sz w:val="20"/>
                <w:szCs w:val="20"/>
              </w:rPr>
              <w:t xml:space="preserve">85–100</w:t>
            </w:r>
          </w:p>
        </w:tc>
        <w:tc>
          <w:tcPr>
            <w:tcW w:type="dxa" w:w="2900"/>
            <w:tcMar>
              <w:top w:type="dxa" w:w="80"/>
              <w:left w:type="dxa" w:w="120"/>
              <w:bottom w:type="dxa" w:w="80"/>
              <w:right w:type="dxa" w:w="120"/>
            </w:tcMar>
          </w:tcPr>
          <w:p>
            <w:r>
              <w:rPr>
                <w:rFonts w:ascii="Arial" w:cs="Arial" w:eastAsia="Arial" w:hAnsi="Arial"/>
                <w:b w:val="false"/>
                <w:bCs w:val="false"/>
                <w:color w:val="000000"/>
                <w:sz w:val="20"/>
                <w:szCs w:val="20"/>
              </w:rPr>
              <w:t xml:space="preserve">Ready to Advance</w:t>
            </w:r>
          </w:p>
        </w:tc>
        <w:tc>
          <w:tcPr>
            <w:tcW w:type="dxa" w:w="5300"/>
            <w:tcMar>
              <w:top w:type="dxa" w:w="80"/>
              <w:left w:type="dxa" w:w="120"/>
              <w:bottom w:type="dxa" w:w="80"/>
              <w:right w:type="dxa" w:w="120"/>
            </w:tcMar>
          </w:tcPr>
          <w:p>
            <w:r>
              <w:rPr>
                <w:rFonts w:ascii="Arial" w:cs="Arial" w:eastAsia="Arial" w:hAnsi="Arial"/>
                <w:b w:val="false"/>
                <w:bCs w:val="false"/>
                <w:color w:val="000000"/>
                <w:sz w:val="20"/>
                <w:szCs w:val="20"/>
              </w:rPr>
              <w:t xml:space="preserve">The organization appears well-positioned to manage benefits strategically. Strong foundation for evaluating structural alternatives.</w:t>
            </w:r>
          </w:p>
        </w:tc>
      </w:tr>
      <w:tr>
        <w:tc>
          <w:tcPr>
            <w:tcW w:type="dxa" w:w="1500"/>
            <w:shd w:fill="F2F2F2" w:val="clear"/>
            <w:tcMar>
              <w:top w:type="dxa" w:w="80"/>
              <w:left w:type="dxa" w:w="120"/>
              <w:bottom w:type="dxa" w:w="80"/>
              <w:right w:type="dxa" w:w="120"/>
            </w:tcMar>
          </w:tcPr>
          <w:p>
            <w:r>
              <w:rPr>
                <w:rFonts w:ascii="Arial" w:cs="Arial" w:eastAsia="Arial" w:hAnsi="Arial"/>
                <w:b w:val="false"/>
                <w:bCs w:val="false"/>
                <w:color w:val="000000"/>
                <w:sz w:val="20"/>
                <w:szCs w:val="20"/>
              </w:rPr>
              <w:t xml:space="preserve">70–84</w:t>
            </w:r>
          </w:p>
        </w:tc>
        <w:tc>
          <w:tcPr>
            <w:tcW w:type="dxa" w:w="2900"/>
            <w:shd w:fill="F2F2F2" w:val="clear"/>
            <w:tcMar>
              <w:top w:type="dxa" w:w="80"/>
              <w:left w:type="dxa" w:w="120"/>
              <w:bottom w:type="dxa" w:w="80"/>
              <w:right w:type="dxa" w:w="120"/>
            </w:tcMar>
          </w:tcPr>
          <w:p>
            <w:r>
              <w:rPr>
                <w:rFonts w:ascii="Arial" w:cs="Arial" w:eastAsia="Arial" w:hAnsi="Arial"/>
                <w:b w:val="false"/>
                <w:bCs w:val="false"/>
                <w:color w:val="000000"/>
                <w:sz w:val="20"/>
                <w:szCs w:val="20"/>
              </w:rPr>
              <w:t xml:space="preserve">Promising — Strengthen a Few Areas</w:t>
            </w:r>
          </w:p>
        </w:tc>
        <w:tc>
          <w:tcPr>
            <w:tcW w:type="dxa" w:w="5300"/>
            <w:shd w:fill="F2F2F2" w:val="clear"/>
            <w:tcMar>
              <w:top w:type="dxa" w:w="80"/>
              <w:left w:type="dxa" w:w="120"/>
              <w:bottom w:type="dxa" w:w="80"/>
              <w:right w:type="dxa" w:w="120"/>
            </w:tcMar>
          </w:tcPr>
          <w:p>
            <w:r>
              <w:rPr>
                <w:rFonts w:ascii="Arial" w:cs="Arial" w:eastAsia="Arial" w:hAnsi="Arial"/>
                <w:b w:val="false"/>
                <w:bCs w:val="false"/>
                <w:color w:val="000000"/>
                <w:sz w:val="20"/>
                <w:szCs w:val="20"/>
              </w:rPr>
              <w:t xml:space="preserve">Many signs of readiness. A few areas would benefit from reinforcement before your next renewal.</w:t>
            </w:r>
          </w:p>
        </w:tc>
      </w:tr>
      <w:tr>
        <w:tc>
          <w:tcPr>
            <w:tcW w:type="dxa" w:w="1500"/>
            <w:tcMar>
              <w:top w:type="dxa" w:w="80"/>
              <w:left w:type="dxa" w:w="120"/>
              <w:bottom w:type="dxa" w:w="80"/>
              <w:right w:type="dxa" w:w="120"/>
            </w:tcMar>
          </w:tcPr>
          <w:p>
            <w:r>
              <w:rPr>
                <w:rFonts w:ascii="Arial" w:cs="Arial" w:eastAsia="Arial" w:hAnsi="Arial"/>
                <w:b w:val="false"/>
                <w:bCs w:val="false"/>
                <w:color w:val="000000"/>
                <w:sz w:val="20"/>
                <w:szCs w:val="20"/>
              </w:rPr>
              <w:t xml:space="preserve">50–69</w:t>
            </w:r>
          </w:p>
        </w:tc>
        <w:tc>
          <w:tcPr>
            <w:tcW w:type="dxa" w:w="2900"/>
            <w:tcMar>
              <w:top w:type="dxa" w:w="80"/>
              <w:left w:type="dxa" w:w="120"/>
              <w:bottom w:type="dxa" w:w="80"/>
              <w:right w:type="dxa" w:w="120"/>
            </w:tcMar>
          </w:tcPr>
          <w:p>
            <w:r>
              <w:rPr>
                <w:rFonts w:ascii="Arial" w:cs="Arial" w:eastAsia="Arial" w:hAnsi="Arial"/>
                <w:b w:val="false"/>
                <w:bCs w:val="false"/>
                <w:color w:val="000000"/>
                <w:sz w:val="20"/>
                <w:szCs w:val="20"/>
              </w:rPr>
              <w:t xml:space="preserve">Proceed with Caution</w:t>
            </w:r>
          </w:p>
        </w:tc>
        <w:tc>
          <w:tcPr>
            <w:tcW w:type="dxa" w:w="5300"/>
            <w:tcMar>
              <w:top w:type="dxa" w:w="80"/>
              <w:left w:type="dxa" w:w="120"/>
              <w:bottom w:type="dxa" w:w="80"/>
              <w:right w:type="dxa" w:w="120"/>
            </w:tcMar>
          </w:tcPr>
          <w:p>
            <w:r>
              <w:rPr>
                <w:rFonts w:ascii="Arial" w:cs="Arial" w:eastAsia="Arial" w:hAnsi="Arial"/>
                <w:b w:val="false"/>
                <w:bCs w:val="false"/>
                <w:color w:val="000000"/>
                <w:sz w:val="20"/>
                <w:szCs w:val="20"/>
              </w:rPr>
              <w:t xml:space="preserve">Important strengths exist, but multiple blind spots may be costing you leverage at renewal.</w:t>
            </w:r>
          </w:p>
        </w:tc>
      </w:tr>
      <w:tr>
        <w:tc>
          <w:tcPr>
            <w:tcW w:type="dxa" w:w="1500"/>
            <w:shd w:fill="F2F2F2" w:val="clear"/>
            <w:tcMar>
              <w:top w:type="dxa" w:w="80"/>
              <w:left w:type="dxa" w:w="120"/>
              <w:bottom w:type="dxa" w:w="80"/>
              <w:right w:type="dxa" w:w="120"/>
            </w:tcMar>
          </w:tcPr>
          <w:p>
            <w:r>
              <w:rPr>
                <w:rFonts w:ascii="Arial" w:cs="Arial" w:eastAsia="Arial" w:hAnsi="Arial"/>
                <w:b w:val="false"/>
                <w:bCs w:val="false"/>
                <w:color w:val="000000"/>
                <w:sz w:val="20"/>
                <w:szCs w:val="20"/>
              </w:rPr>
              <w:t xml:space="preserve">Below 50</w:t>
            </w:r>
          </w:p>
        </w:tc>
        <w:tc>
          <w:tcPr>
            <w:tcW w:type="dxa" w:w="2900"/>
            <w:shd w:fill="F2F2F2" w:val="clear"/>
            <w:tcMar>
              <w:top w:type="dxa" w:w="80"/>
              <w:left w:type="dxa" w:w="120"/>
              <w:bottom w:type="dxa" w:w="80"/>
              <w:right w:type="dxa" w:w="120"/>
            </w:tcMar>
          </w:tcPr>
          <w:p>
            <w:r>
              <w:rPr>
                <w:rFonts w:ascii="Arial" w:cs="Arial" w:eastAsia="Arial" w:hAnsi="Arial"/>
                <w:b w:val="false"/>
                <w:bCs w:val="false"/>
                <w:color w:val="000000"/>
                <w:sz w:val="20"/>
                <w:szCs w:val="20"/>
              </w:rPr>
              <w:t xml:space="preserve">Needs More Foundation Work</w:t>
            </w:r>
          </w:p>
        </w:tc>
        <w:tc>
          <w:tcPr>
            <w:tcW w:type="dxa" w:w="5300"/>
            <w:shd w:fill="F2F2F2" w:val="clear"/>
            <w:tcMar>
              <w:top w:type="dxa" w:w="80"/>
              <w:left w:type="dxa" w:w="120"/>
              <w:bottom w:type="dxa" w:w="80"/>
              <w:right w:type="dxa" w:w="120"/>
            </w:tcMar>
          </w:tcPr>
          <w:p>
            <w:r>
              <w:rPr>
                <w:rFonts w:ascii="Arial" w:cs="Arial" w:eastAsia="Arial" w:hAnsi="Arial"/>
                <w:b w:val="false"/>
                <w:bCs w:val="false"/>
                <w:color w:val="000000"/>
                <w:sz w:val="20"/>
                <w:szCs w:val="20"/>
              </w:rPr>
              <w:t xml:space="preserve">Start with visibility: request your claims data and a benchmark comparison. Not knowing is where overpaying begins.</w:t>
            </w:r>
          </w:p>
        </w:tc>
      </w:tr>
    </w:tbl>
    <w:p>
      <w:pPr>
        <w:spacing w:after="120"/>
      </w:pPr>
      <w:r>
        <w:rPr>
          <w:rFonts w:ascii="Arial" w:cs="Arial" w:eastAsia="Arial" w:hAnsi="Arial"/>
          <w:b/>
          <w:bCs/>
          <w:i w:val="false"/>
          <w:iCs w:val="false"/>
          <w:sz w:val="21"/>
          <w:szCs w:val="21"/>
        </w:rPr>
        <w:t xml:space="preserve">Important note</w:t>
      </w:r>
    </w:p>
    <w:p>
      <w:pPr>
        <w:spacing w:after="120"/>
      </w:pPr>
      <w:r>
        <w:rPr>
          <w:rFonts w:ascii="Arial" w:cs="Arial" w:eastAsia="Arial" w:hAnsi="Arial"/>
          <w:b w:val="false"/>
          <w:bCs w:val="false"/>
          <w:i w:val="false"/>
          <w:iCs w:val="false"/>
          <w:sz w:val="21"/>
          <w:szCs w:val="21"/>
        </w:rPr>
        <w:t xml:space="preserve">The score is a planning signal, not a final verdict. A high score does not mean there is no work to do. A lower score does not mean a structural change is out of reach. The value is in helping leaders see clearly, ask better questions of their broker and carrier, and focus energy where it matters most.</w:t>
      </w:r>
    </w:p>
    <w:p>
      <w:pPr>
        <w:pStyle w:val="Heading1"/>
        <w:spacing w:after="140" w:before="320"/>
      </w:pPr>
      <w:r>
        <w:rPr>
          <w:rFonts w:ascii="Arial" w:cs="Arial" w:eastAsia="Arial" w:hAnsi="Arial"/>
          <w:b/>
          <w:bCs/>
          <w:color w:val="1F3864"/>
          <w:sz w:val="26"/>
          <w:szCs w:val="26"/>
        </w:rPr>
        <w:t xml:space="preserve">7.  How to interpret the Strongest Pillar and Pillar Needing Most Attention</w:t>
      </w:r>
    </w:p>
    <w:p>
      <w:pPr>
        <w:spacing w:after="120"/>
      </w:pPr>
      <w:r>
        <w:rPr>
          <w:rFonts w:ascii="Arial" w:cs="Arial" w:eastAsia="Arial" w:hAnsi="Arial"/>
          <w:b w:val="false"/>
          <w:bCs w:val="false"/>
          <w:i w:val="false"/>
          <w:iCs w:val="false"/>
          <w:sz w:val="21"/>
          <w:szCs w:val="21"/>
        </w:rPr>
        <w:t xml:space="preserve">The Dashboard automatically identifies:</w:t>
      </w:r>
    </w:p>
    <w:p>
      <w:pPr>
        <w:spacing w:after="120"/>
      </w:pPr>
      <w:r>
        <w:rPr>
          <w:rFonts w:ascii="Arial" w:cs="Arial" w:eastAsia="Arial" w:hAnsi="Arial"/>
          <w:b/>
          <w:bCs/>
          <w:i w:val="false"/>
          <w:iCs w:val="false"/>
          <w:sz w:val="21"/>
          <w:szCs w:val="21"/>
        </w:rPr>
        <w:t xml:space="preserve">Strongest Pillar</w:t>
      </w:r>
    </w:p>
    <w:p>
      <w:pPr>
        <w:spacing w:after="120"/>
      </w:pPr>
      <w:r>
        <w:rPr>
          <w:rFonts w:ascii="Arial" w:cs="Arial" w:eastAsia="Arial" w:hAnsi="Arial"/>
          <w:b w:val="false"/>
          <w:bCs w:val="false"/>
          <w:i w:val="false"/>
          <w:iCs w:val="false"/>
          <w:sz w:val="21"/>
          <w:szCs w:val="21"/>
        </w:rPr>
        <w:t xml:space="preserve">The pillar with the highest average score. This is where the organization has relatively stronger benefits readiness today.</w:t>
      </w:r>
    </w:p>
    <w:p>
      <w:pPr>
        <w:spacing w:after="120"/>
      </w:pPr>
      <w:r>
        <w:rPr>
          <w:rFonts w:ascii="Arial" w:cs="Arial" w:eastAsia="Arial" w:hAnsi="Arial"/>
          <w:b/>
          <w:bCs/>
          <w:i w:val="false"/>
          <w:iCs w:val="false"/>
          <w:sz w:val="21"/>
          <w:szCs w:val="21"/>
        </w:rPr>
        <w:t xml:space="preserve">Pillar Needing Most Attention</w:t>
      </w:r>
    </w:p>
    <w:p>
      <w:pPr>
        <w:spacing w:after="120"/>
      </w:pPr>
      <w:r>
        <w:rPr>
          <w:rFonts w:ascii="Arial" w:cs="Arial" w:eastAsia="Arial" w:hAnsi="Arial"/>
          <w:b w:val="false"/>
          <w:bCs w:val="false"/>
          <w:i w:val="false"/>
          <w:iCs w:val="false"/>
          <w:sz w:val="21"/>
          <w:szCs w:val="21"/>
        </w:rPr>
        <w:t xml:space="preserve">The pillar with the lowest average score. This is the area most worth focusing on before your next renewal conversation.</w:t>
      </w:r>
    </w:p>
    <w:p>
      <w:pPr>
        <w:pStyle w:val="Heading1"/>
        <w:spacing w:after="140" w:before="320"/>
      </w:pPr>
      <w:r>
        <w:rPr>
          <w:rFonts w:ascii="Arial" w:cs="Arial" w:eastAsia="Arial" w:hAnsi="Arial"/>
          <w:b/>
          <w:bCs/>
          <w:color w:val="1F3864"/>
          <w:sz w:val="26"/>
          <w:szCs w:val="26"/>
        </w:rPr>
        <w:t xml:space="preserve">8.  How to use the size-band guidance</w:t>
      </w:r>
    </w:p>
    <w:p>
      <w:pPr>
        <w:spacing w:after="120"/>
      </w:pPr>
      <w:r>
        <w:rPr>
          <w:rFonts w:ascii="Arial" w:cs="Arial" w:eastAsia="Arial" w:hAnsi="Arial"/>
          <w:b w:val="false"/>
          <w:bCs w:val="false"/>
          <w:i w:val="false"/>
          <w:iCs w:val="false"/>
          <w:sz w:val="21"/>
          <w:szCs w:val="21"/>
        </w:rPr>
        <w:t xml:space="preserve">The Dashboard includes a size-band section that reads the number of benefit-eligible employees you entered on the Organization Profile tab and shows which plan structures are generally worth evaluating at your size:</w:t>
      </w:r>
    </w:p>
    <w:p>
      <w:pPr>
        <w:pStyle w:val="ListParagraph"/>
        <w:numPr>
          <w:ilvl w:val="0"/>
          <w:numId w:val="2"/>
        </w:numPr>
        <w:spacing w:after="80"/>
      </w:pPr>
      <w:r>
        <w:rPr>
          <w:rFonts w:ascii="Arial" w:cs="Arial" w:eastAsia="Arial" w:hAnsi="Arial"/>
          <w:sz w:val="21"/>
          <w:szCs w:val="21"/>
        </w:rPr>
        <w:t xml:space="preserve">Under 50 employees — Fully insured is generally the right structure for now; focus on shopping aggressively at renewal and building awareness of your population’s health profile.</w:t>
      </w:r>
    </w:p>
    <w:p>
      <w:pPr>
        <w:pStyle w:val="ListParagraph"/>
        <w:numPr>
          <w:ilvl w:val="0"/>
          <w:numId w:val="2"/>
        </w:numPr>
        <w:spacing w:after="80"/>
      </w:pPr>
      <w:r>
        <w:rPr>
          <w:rFonts w:ascii="Arial" w:cs="Arial" w:eastAsia="Arial" w:hAnsi="Arial"/>
          <w:sz w:val="21"/>
          <w:szCs w:val="21"/>
        </w:rPr>
        <w:t xml:space="preserve">50–150 employees — The transition zone; level-funded and partially self-funded structures become viable first steps.</w:t>
      </w:r>
    </w:p>
    <w:p>
      <w:pPr>
        <w:pStyle w:val="ListParagraph"/>
        <w:numPr>
          <w:ilvl w:val="0"/>
          <w:numId w:val="2"/>
        </w:numPr>
        <w:spacing w:after="80"/>
      </w:pPr>
      <w:r>
        <w:rPr>
          <w:rFonts w:ascii="Arial" w:cs="Arial" w:eastAsia="Arial" w:hAnsi="Arial"/>
          <w:sz w:val="21"/>
          <w:szCs w:val="21"/>
        </w:rPr>
        <w:t xml:space="preserve">150–300 employees — Full self-funding with stop loss becomes financially compelling, and a charter-specific group captive is worth evaluating.</w:t>
      </w:r>
    </w:p>
    <w:p>
      <w:pPr>
        <w:pStyle w:val="ListParagraph"/>
        <w:numPr>
          <w:ilvl w:val="0"/>
          <w:numId w:val="2"/>
        </w:numPr>
        <w:spacing w:after="80"/>
      </w:pPr>
      <w:r>
        <w:rPr>
          <w:rFonts w:ascii="Arial" w:cs="Arial" w:eastAsia="Arial" w:hAnsi="Arial"/>
          <w:sz w:val="21"/>
          <w:szCs w:val="21"/>
        </w:rPr>
        <w:t xml:space="preserve">300+ employees — Self-funding is close to the default; the differentiator is how aggressively you use the cost management tools it unlocks.</w:t>
      </w:r>
    </w:p>
    <w:p>
      <w:pPr>
        <w:spacing w:after="120"/>
      </w:pPr>
      <w:r>
        <w:rPr>
          <w:rFonts w:ascii="Arial" w:cs="Arial" w:eastAsia="Arial" w:hAnsi="Arial"/>
          <w:b w:val="false"/>
          <w:bCs w:val="false"/>
          <w:i w:val="false"/>
          <w:iCs w:val="false"/>
          <w:sz w:val="21"/>
          <w:szCs w:val="21"/>
        </w:rPr>
        <w:t xml:space="preserve">The bands are a starting point, not a prescription. The right structure also depends on your current loss ratio, your board’s risk appetite, your employees’ health profile, and your team’s bandwidth to engage strategically.</w:t>
      </w:r>
    </w:p>
    <w:p>
      <w:pPr>
        <w:pStyle w:val="Heading1"/>
        <w:spacing w:after="140" w:before="320"/>
      </w:pPr>
      <w:r>
        <w:rPr>
          <w:rFonts w:ascii="Arial" w:cs="Arial" w:eastAsia="Arial" w:hAnsi="Arial"/>
          <w:b/>
          <w:bCs/>
          <w:color w:val="1F3864"/>
          <w:sz w:val="26"/>
          <w:szCs w:val="26"/>
        </w:rPr>
        <w:t xml:space="preserve">9.  How to use the Recommended Focus Areas</w:t>
      </w:r>
    </w:p>
    <w:p>
      <w:pPr>
        <w:spacing w:after="120"/>
      </w:pPr>
      <w:r>
        <w:rPr>
          <w:rFonts w:ascii="Arial" w:cs="Arial" w:eastAsia="Arial" w:hAnsi="Arial"/>
          <w:b w:val="false"/>
          <w:bCs w:val="false"/>
          <w:i w:val="false"/>
          <w:iCs w:val="false"/>
          <w:sz w:val="21"/>
          <w:szCs w:val="21"/>
        </w:rPr>
        <w:t xml:space="preserve">The Dashboard includes a Recommended Focus Areas section with practical starting points for each pillar. These are designed to point leadership teams toward the conversations most worth having — not to serve as exhaustive action plans.</w:t>
      </w:r>
    </w:p>
    <w:p>
      <w:pPr>
        <w:pStyle w:val="ListParagraph"/>
        <w:numPr>
          <w:ilvl w:val="0"/>
          <w:numId w:val="2"/>
        </w:numPr>
        <w:spacing w:after="80"/>
      </w:pPr>
      <w:r>
        <w:rPr>
          <w:rFonts w:ascii="Arial" w:cs="Arial" w:eastAsia="Arial" w:hAnsi="Arial"/>
          <w:sz w:val="21"/>
          <w:szCs w:val="21"/>
        </w:rPr>
        <w:t xml:space="preserve">If Visibility needs attention: Ask your broker for an annual claims summary — top-claimant share of spend, pharmacy share, per-employee cost versus similar schools — and whether your renewal is experience-rated or pool-rated.</w:t>
      </w:r>
    </w:p>
    <w:p>
      <w:pPr>
        <w:pStyle w:val="ListParagraph"/>
        <w:numPr>
          <w:ilvl w:val="0"/>
          <w:numId w:val="2"/>
        </w:numPr>
        <w:spacing w:after="80"/>
      </w:pPr>
      <w:r>
        <w:rPr>
          <w:rFonts w:ascii="Arial" w:cs="Arial" w:eastAsia="Arial" w:hAnsi="Arial"/>
          <w:sz w:val="21"/>
          <w:szCs w:val="21"/>
        </w:rPr>
        <w:t xml:space="preserve">If Structure Fit needs attention: Match your employee count to the size-band guidance, and request at least one competing proposal — including a level-funded or self-funded quote — before your next renewal.</w:t>
      </w:r>
    </w:p>
    <w:p>
      <w:pPr>
        <w:pStyle w:val="ListParagraph"/>
        <w:numPr>
          <w:ilvl w:val="0"/>
          <w:numId w:val="2"/>
        </w:numPr>
        <w:spacing w:after="80"/>
      </w:pPr>
      <w:r>
        <w:rPr>
          <w:rFonts w:ascii="Arial" w:cs="Arial" w:eastAsia="Arial" w:hAnsi="Arial"/>
          <w:sz w:val="21"/>
          <w:szCs w:val="21"/>
        </w:rPr>
        <w:t xml:space="preserve">If Risk Management needs attention: Get your maximum annual exposure in writing — specific and aggregate stop loss terms if self-funded, or your full-year premium trajectory if fully insured — and put it in front of the board.</w:t>
      </w:r>
    </w:p>
    <w:p>
      <w:pPr>
        <w:pStyle w:val="ListParagraph"/>
        <w:numPr>
          <w:ilvl w:val="0"/>
          <w:numId w:val="2"/>
        </w:numPr>
        <w:spacing w:after="80"/>
      </w:pPr>
      <w:r>
        <w:rPr>
          <w:rFonts w:ascii="Arial" w:cs="Arial" w:eastAsia="Arial" w:hAnsi="Arial"/>
          <w:sz w:val="21"/>
          <w:szCs w:val="21"/>
        </w:rPr>
        <w:t xml:space="preserve">If Strategy Cadence needs attention: Put a benefits strategy meeting on the calendar at least six months before renewal, assign one owner, and add per-employee healthcare cost to your standing financial dashboard.</w:t>
      </w:r>
    </w:p>
    <w:p>
      <w:pPr>
        <w:pStyle w:val="Heading1"/>
        <w:spacing w:after="140" w:before="320"/>
      </w:pPr>
      <w:r>
        <w:rPr>
          <w:rFonts w:ascii="Arial" w:cs="Arial" w:eastAsia="Arial" w:hAnsi="Arial"/>
          <w:b/>
          <w:bCs/>
          <w:color w:val="1F3864"/>
          <w:sz w:val="26"/>
          <w:szCs w:val="26"/>
        </w:rPr>
        <w:t xml:space="preserve">10.  Recommended way to use this tool</w:t>
      </w:r>
    </w:p>
    <w:p>
      <w:pPr>
        <w:pStyle w:val="ListParagraph"/>
        <w:numPr>
          <w:ilvl w:val="0"/>
          <w:numId w:val="2"/>
        </w:numPr>
        <w:spacing w:after="80"/>
      </w:pPr>
      <w:r>
        <w:rPr>
          <w:rFonts w:ascii="Arial" w:cs="Arial" w:eastAsia="Arial" w:hAnsi="Arial"/>
          <w:sz w:val="21"/>
          <w:szCs w:val="21"/>
        </w:rPr>
        <w:t xml:space="preserve">Complete the Organization Profile tab first — including your number of benefit-eligible employees.</w:t>
      </w:r>
    </w:p>
    <w:p>
      <w:pPr>
        <w:pStyle w:val="ListParagraph"/>
        <w:numPr>
          <w:ilvl w:val="0"/>
          <w:numId w:val="2"/>
        </w:numPr>
        <w:spacing w:after="80"/>
      </w:pPr>
      <w:r>
        <w:rPr>
          <w:rFonts w:ascii="Arial" w:cs="Arial" w:eastAsia="Arial" w:hAnsi="Arial"/>
          <w:sz w:val="21"/>
          <w:szCs w:val="21"/>
        </w:rPr>
        <w:t xml:space="preserve">Have the leaders closest to finance and HR complete the Assessment tab — ideally as a team discussion rather than individually.</w:t>
      </w:r>
    </w:p>
    <w:p>
      <w:pPr>
        <w:pStyle w:val="ListParagraph"/>
        <w:numPr>
          <w:ilvl w:val="0"/>
          <w:numId w:val="2"/>
        </w:numPr>
        <w:spacing w:after="80"/>
      </w:pPr>
      <w:r>
        <w:rPr>
          <w:rFonts w:ascii="Arial" w:cs="Arial" w:eastAsia="Arial" w:hAnsi="Arial"/>
          <w:sz w:val="21"/>
          <w:szCs w:val="21"/>
        </w:rPr>
        <w:t xml:space="preserve">Review the Dashboard together: the overall score, pillar scores, size-band guidance, and recommended focus areas.</w:t>
      </w:r>
    </w:p>
    <w:p>
      <w:pPr>
        <w:pStyle w:val="ListParagraph"/>
        <w:numPr>
          <w:ilvl w:val="0"/>
          <w:numId w:val="2"/>
        </w:numPr>
        <w:spacing w:after="80"/>
      </w:pPr>
      <w:r>
        <w:rPr>
          <w:rFonts w:ascii="Arial" w:cs="Arial" w:eastAsia="Arial" w:hAnsi="Arial"/>
          <w:sz w:val="21"/>
          <w:szCs w:val="21"/>
        </w:rPr>
        <w:t xml:space="preserve">Identify 2–3 priorities to act on before your next renewal conversation begins.</w:t>
      </w:r>
    </w:p>
    <w:p>
      <w:pPr>
        <w:spacing w:after="120"/>
      </w:pPr>
      <w:r>
        <w:rPr>
          <w:rFonts w:ascii="Arial" w:cs="Arial" w:eastAsia="Arial" w:hAnsi="Arial"/>
          <w:b w:val="false"/>
          <w:bCs w:val="false"/>
          <w:i w:val="false"/>
          <w:iCs w:val="false"/>
          <w:sz w:val="21"/>
          <w:szCs w:val="21"/>
        </w:rPr>
        <w:t xml:space="preserve">This tool can also be valuable at multiple points in time. Some teams complete it well before renewal season, then revisit it after key changes — a structure change, a new broker relationship, or the first year of claims data — to see how the picture has changed.</w:t>
      </w:r>
    </w:p>
    <w:p>
      <w:pPr>
        <w:pStyle w:val="Heading1"/>
        <w:spacing w:after="140" w:before="320"/>
      </w:pPr>
      <w:r>
        <w:rPr>
          <w:rFonts w:ascii="Arial" w:cs="Arial" w:eastAsia="Arial" w:hAnsi="Arial"/>
          <w:b/>
          <w:bCs/>
          <w:color w:val="1F3864"/>
          <w:sz w:val="26"/>
          <w:szCs w:val="26"/>
        </w:rPr>
        <w:t xml:space="preserve">11.  Final note</w:t>
      </w:r>
    </w:p>
    <w:p>
      <w:pPr>
        <w:spacing w:after="120"/>
      </w:pPr>
      <w:r>
        <w:rPr>
          <w:rFonts w:ascii="Arial" w:cs="Arial" w:eastAsia="Arial" w:hAnsi="Arial"/>
          <w:b w:val="false"/>
          <w:bCs w:val="false"/>
          <w:i w:val="false"/>
          <w:iCs w:val="false"/>
          <w:sz w:val="21"/>
          <w:szCs w:val="21"/>
        </w:rPr>
        <w:t xml:space="preserve">The Health Insurance Structure Readiness Assessment is not designed to tell leaders which plan structure to choose. It is designed to help leadership teams walk into their next benefits conversation with clarity and leverage.</w:t>
      </w:r>
    </w:p>
    <w:p>
      <w:pPr>
        <w:spacing w:after="120"/>
      </w:pPr>
      <w:r>
        <w:rPr>
          <w:rFonts w:ascii="Arial" w:cs="Arial" w:eastAsia="Arial" w:hAnsi="Arial"/>
          <w:b w:val="false"/>
          <w:bCs w:val="false"/>
          <w:i w:val="false"/>
          <w:iCs w:val="false"/>
          <w:sz w:val="21"/>
          <w:szCs w:val="21"/>
        </w:rPr>
        <w:t xml:space="preserve">The most useful outcome is not just the score itself. It is the conversation the score helps create.</w:t>
      </w:r>
    </w:p>
    <w:p>
      <w:pPr>
        <w:spacing w:after="120"/>
      </w:pPr>
      <w:r>
        <w:rPr>
          <w:rFonts w:ascii="Arial" w:cs="Arial" w:eastAsia="Arial" w:hAnsi="Arial"/>
          <w:b w:val="false"/>
          <w:bCs w:val="false"/>
          <w:i/>
          <w:iCs/>
          <w:sz w:val="21"/>
          <w:szCs w:val="21"/>
        </w:rPr>
        <w:t xml:space="preserve">This score is a planning signal, not a final decision. Use it to identify strengths, surface blind spots, and clarify where to focus your energy before your next renewal.</w:t>
      </w:r>
    </w:p>
    <w:p>
      <w:pPr>
        <w:spacing w:after="120"/>
      </w:pPr>
      <w:r>
        <w:rPr>
          <w:rFonts w:ascii="Arial" w:cs="Arial" w:eastAsia="Arial" w:hAnsi="Arial"/>
          <w:b w:val="false"/>
          <w:bCs w:val="false"/>
          <w:i w:val="false"/>
          <w:iCs w:val="false"/>
          <w:sz w:val="21"/>
          <w:szCs w:val="21"/>
        </w:rPr>
        <w:t xml:space="preserve"/>
      </w:r>
    </w:p>
    <w:p>
      <w:pPr>
        <w:spacing w:after="120"/>
      </w:pPr>
      <w:r>
        <w:rPr>
          <w:rFonts w:ascii="Arial" w:cs="Arial" w:eastAsia="Arial" w:hAnsi="Arial"/>
          <w:b w:val="false"/>
          <w:bCs w:val="false"/>
          <w:i w:val="false"/>
          <w:iCs w:val="false"/>
          <w:sz w:val="21"/>
          <w:szCs w:val="21"/>
        </w:rPr>
        <w:t xml:space="preserve">Based on Episode #72 of The Charter School Insider Podcast, featuring Gary Clark of HUB International and Kylie Hunter of Berkley Accident and Health.</w:t>
      </w:r>
    </w:p>
    <w:p>
      <w:pPr>
        <w:spacing w:after="120"/>
      </w:pPr>
      <w:r>
        <w:rPr>
          <w:rFonts w:ascii="Arial" w:cs="Arial" w:eastAsia="Arial" w:hAnsi="Arial"/>
          <w:b w:val="false"/>
          <w:bCs w:val="false"/>
          <w:i w:val="false"/>
          <w:iCs w:val="false"/>
          <w:sz w:val="21"/>
          <w:szCs w:val="21"/>
        </w:rPr>
        <w:t xml:space="preserve">BuyQ works with charter and private schools to simplify procurement through pre-negotiated contracts and education-first guidance.  Visit buyq.org to learn more.</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2026-07-09T16:23:35.775Z</dcterms:created>
  <dcterms:modified xsi:type="dcterms:W3CDTF">2026-07-09T16:23:35.786Z</dcterms:modified>
</cp:coreProperties>
</file>

<file path=docProps/custom.xml><?xml version="1.0" encoding="utf-8"?>
<Properties xmlns="http://schemas.openxmlformats.org/officeDocument/2006/custom-properties" xmlns:vt="http://schemas.openxmlformats.org/officeDocument/2006/docPropsVTypes"/>
</file>