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4B1B53F1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2C7832B8" w:rsidRDefault="480188B3" w14:paraId="281FADD2" w14:textId="64F86EC1">
            <w:pPr>
              <w:pStyle w:val="Heading1"/>
              <w:spacing w:before="322" w:beforeAutospacing="off" w:after="322" w:afterAutospacing="off"/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</w:pPr>
            <w:r w:rsidRPr="4B1B53F1" w:rsidR="4A50A467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 xml:space="preserve">Vendor </w:t>
            </w:r>
            <w:r w:rsidRPr="4B1B53F1" w:rsidR="39743C4D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Relationship Map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4B1B53F1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4B1B53F1" wp14:paraId="5C0D3EF9" wp14:textId="635F17B9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7AA58218" wp14:paraId="49F78D00" wp14:textId="46E4B67B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 simple visual tool to clarify who your key vendors are—and where your team depends on them most</w:t>
      </w:r>
    </w:p>
    <w:p xmlns:wp14="http://schemas.microsoft.com/office/word/2010/wordml" w:rsidP="7AA58218" wp14:paraId="11CEEA6E" wp14:textId="04723ECB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Handshake Buyers often work from experience and trust. This tool helps you </w:t>
      </w:r>
      <w:r w:rsidRPr="4B1B53F1" w:rsidR="102B24C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make those relationships visible</w:t>
      </w: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, so you can assess overlap, risk, and opportunity for improvement.</w:t>
      </w:r>
    </w:p>
    <w:p xmlns:wp14="http://schemas.microsoft.com/office/word/2010/wordml" w:rsidP="7AA58218" wp14:paraId="1BD74DCA" wp14:textId="08E8442F">
      <w:pPr>
        <w:spacing w:before="240" w:beforeAutospacing="off" w:after="240" w:afterAutospacing="off"/>
      </w:pPr>
    </w:p>
    <w:p xmlns:wp14="http://schemas.microsoft.com/office/word/2010/wordml" w:rsidP="4B1B53F1" wp14:paraId="171D4B37" wp14:textId="20001C3F">
      <w:pPr>
        <w:pStyle w:val="Heading3"/>
        <w:spacing w:before="281" w:beforeAutospacing="off" w:after="281" w:afterAutospacing="off"/>
      </w:pPr>
      <w:r w:rsidRPr="4B1B53F1" w:rsidR="102B24C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🧭 Step 1: List Your Vendors by Category</w:t>
      </w:r>
    </w:p>
    <w:p xmlns:wp14="http://schemas.microsoft.com/office/word/2010/wordml" w:rsidP="7AA58218" wp14:paraId="0C6535AA" wp14:textId="277D7910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Create a table or mind map to group vendors into common procurement categories. Examples:</w:t>
      </w:r>
    </w:p>
    <w:tbl>
      <w:tblPr>
        <w:tblStyle w:val="TableNormal"/>
        <w:tblW w:w="0" w:type="auto"/>
        <w:tblInd w:w="-240" w:type="dxa"/>
        <w:tblBorders>
          <w:top w:val="single" w:color="BFBFBF" w:themeColor="background1" w:themeShade="BF" w:sz="12"/>
          <w:left w:val="single" w:color="BFBFBF" w:themeColor="background1" w:themeShade="BF" w:sz="12"/>
          <w:bottom w:val="single" w:color="BFBFBF" w:themeColor="background1" w:themeShade="BF" w:sz="12"/>
          <w:right w:val="single" w:color="BFBFBF" w:themeColor="background1" w:themeShade="BF" w:sz="12"/>
          <w:insideH w:val="single" w:color="BFBFBF" w:themeColor="background1" w:themeShade="BF" w:sz="12"/>
          <w:insideV w:val="single" w:color="BFBFBF" w:themeColor="background1" w:themeShade="BF" w:sz="12"/>
        </w:tblBorders>
        <w:tblLayout w:type="fixed"/>
        <w:tblLook w:val="06A0" w:firstRow="1" w:lastRow="0" w:firstColumn="1" w:lastColumn="0" w:noHBand="1" w:noVBand="1"/>
      </w:tblPr>
      <w:tblGrid>
        <w:gridCol w:w="1576"/>
        <w:gridCol w:w="1793"/>
        <w:gridCol w:w="1966"/>
        <w:gridCol w:w="1493"/>
        <w:gridCol w:w="1089"/>
        <w:gridCol w:w="2640"/>
      </w:tblGrid>
      <w:tr w:rsidR="4B1B53F1" w:rsidTr="4B1B53F1" w14:paraId="13514427">
        <w:trPr>
          <w:trHeight w:val="300"/>
        </w:trPr>
        <w:tc>
          <w:tcPr>
            <w:tcW w:w="1576" w:type="dxa"/>
            <w:tcMar/>
            <w:vAlign w:val="center"/>
          </w:tcPr>
          <w:p w:rsidR="4B1B53F1" w:rsidP="4B1B53F1" w:rsidRDefault="4B1B53F1" w14:paraId="2D8A50AC" w14:textId="4D49AA1F">
            <w:pPr>
              <w:spacing w:before="0" w:beforeAutospacing="off" w:after="0" w:afterAutospacing="off"/>
              <w:jc w:val="center"/>
            </w:pPr>
            <w:r w:rsidRPr="4B1B53F1" w:rsidR="4B1B53F1">
              <w:rPr>
                <w:b w:val="1"/>
                <w:bCs w:val="1"/>
              </w:rPr>
              <w:t>Category</w:t>
            </w:r>
          </w:p>
        </w:tc>
        <w:tc>
          <w:tcPr>
            <w:tcW w:w="1793" w:type="dxa"/>
            <w:tcMar/>
            <w:vAlign w:val="center"/>
          </w:tcPr>
          <w:p w:rsidR="4B1B53F1" w:rsidP="4B1B53F1" w:rsidRDefault="4B1B53F1" w14:paraId="1C0A7270" w14:textId="5573F648">
            <w:pPr>
              <w:spacing w:before="0" w:beforeAutospacing="off" w:after="0" w:afterAutospacing="off"/>
              <w:jc w:val="center"/>
            </w:pPr>
            <w:r w:rsidRPr="4B1B53F1" w:rsidR="4B1B53F1">
              <w:rPr>
                <w:b w:val="1"/>
                <w:bCs w:val="1"/>
              </w:rPr>
              <w:t>Vendor Name</w:t>
            </w:r>
          </w:p>
        </w:tc>
        <w:tc>
          <w:tcPr>
            <w:tcW w:w="1966" w:type="dxa"/>
            <w:tcMar/>
            <w:vAlign w:val="center"/>
          </w:tcPr>
          <w:p w:rsidR="4B1B53F1" w:rsidP="4B1B53F1" w:rsidRDefault="4B1B53F1" w14:paraId="1A2CB4D5" w14:textId="13B80600">
            <w:pPr>
              <w:spacing w:before="0" w:beforeAutospacing="off" w:after="0" w:afterAutospacing="off"/>
              <w:jc w:val="center"/>
            </w:pPr>
            <w:r w:rsidRPr="4B1B53F1" w:rsidR="4B1B53F1">
              <w:rPr>
                <w:b w:val="1"/>
                <w:bCs w:val="1"/>
              </w:rPr>
              <w:t>Contact</w:t>
            </w:r>
          </w:p>
        </w:tc>
        <w:tc>
          <w:tcPr>
            <w:tcW w:w="1493" w:type="dxa"/>
            <w:tcMar/>
            <w:vAlign w:val="center"/>
          </w:tcPr>
          <w:p w:rsidR="4B1B53F1" w:rsidP="4B1B53F1" w:rsidRDefault="4B1B53F1" w14:paraId="3252E089" w14:textId="2A0E6631">
            <w:pPr>
              <w:spacing w:before="0" w:beforeAutospacing="off" w:after="0" w:afterAutospacing="off"/>
              <w:jc w:val="center"/>
            </w:pPr>
            <w:r w:rsidRPr="4B1B53F1" w:rsidR="4B1B53F1">
              <w:rPr>
                <w:b w:val="1"/>
                <w:bCs w:val="1"/>
              </w:rPr>
              <w:t>What We Buy</w:t>
            </w:r>
          </w:p>
        </w:tc>
        <w:tc>
          <w:tcPr>
            <w:tcW w:w="1089" w:type="dxa"/>
            <w:tcMar/>
            <w:vAlign w:val="center"/>
          </w:tcPr>
          <w:p w:rsidR="4B1B53F1" w:rsidP="4B1B53F1" w:rsidRDefault="4B1B53F1" w14:paraId="0389677D" w14:textId="243F6CA4">
            <w:pPr>
              <w:spacing w:before="0" w:beforeAutospacing="off" w:after="0" w:afterAutospacing="off"/>
              <w:jc w:val="center"/>
            </w:pPr>
            <w:r w:rsidRPr="4B1B53F1" w:rsidR="4B1B53F1">
              <w:rPr>
                <w:b w:val="1"/>
                <w:bCs w:val="1"/>
              </w:rPr>
              <w:t>Frequency</w:t>
            </w:r>
          </w:p>
        </w:tc>
        <w:tc>
          <w:tcPr>
            <w:tcW w:w="2640" w:type="dxa"/>
            <w:tcMar/>
            <w:vAlign w:val="center"/>
          </w:tcPr>
          <w:p w:rsidR="4B1B53F1" w:rsidP="4B1B53F1" w:rsidRDefault="4B1B53F1" w14:paraId="0DCC4FEA" w14:textId="30BF66A4">
            <w:pPr>
              <w:spacing w:before="0" w:beforeAutospacing="off" w:after="0" w:afterAutospacing="off"/>
              <w:jc w:val="center"/>
            </w:pPr>
            <w:r w:rsidRPr="4B1B53F1" w:rsidR="4B1B53F1">
              <w:rPr>
                <w:b w:val="1"/>
                <w:bCs w:val="1"/>
              </w:rPr>
              <w:t>Notes</w:t>
            </w:r>
          </w:p>
        </w:tc>
      </w:tr>
      <w:tr w:rsidR="4B1B53F1" w:rsidTr="4B1B53F1" w14:paraId="05B16C7A">
        <w:trPr>
          <w:trHeight w:val="300"/>
        </w:trPr>
        <w:tc>
          <w:tcPr>
            <w:tcW w:w="1576" w:type="dxa"/>
            <w:tcMar/>
            <w:vAlign w:val="center"/>
          </w:tcPr>
          <w:p w:rsidR="4B1B53F1" w:rsidP="4B1B53F1" w:rsidRDefault="4B1B53F1" w14:paraId="709514EA" w14:textId="647EECA9">
            <w:pPr>
              <w:spacing w:before="0" w:beforeAutospacing="off" w:after="0" w:afterAutospacing="off"/>
            </w:pPr>
            <w:r w:rsidR="4B1B53F1">
              <w:rPr/>
              <w:t>Office Supplies</w:t>
            </w:r>
          </w:p>
        </w:tc>
        <w:tc>
          <w:tcPr>
            <w:tcW w:w="1793" w:type="dxa"/>
            <w:tcMar/>
            <w:vAlign w:val="center"/>
          </w:tcPr>
          <w:p w:rsidR="4B1B53F1" w:rsidP="4B1B53F1" w:rsidRDefault="4B1B53F1" w14:paraId="64A6B37C" w14:textId="101DFABB">
            <w:pPr>
              <w:spacing w:before="0" w:beforeAutospacing="off" w:after="0" w:afterAutospacing="off"/>
            </w:pPr>
            <w:r w:rsidR="4B1B53F1">
              <w:rPr/>
              <w:t>Staples</w:t>
            </w:r>
          </w:p>
        </w:tc>
        <w:tc>
          <w:tcPr>
            <w:tcW w:w="1966" w:type="dxa"/>
            <w:tcMar/>
            <w:vAlign w:val="center"/>
          </w:tcPr>
          <w:p w:rsidR="4B1B53F1" w:rsidP="4B1B53F1" w:rsidRDefault="4B1B53F1" w14:paraId="08EB5CBA" w14:textId="3781EC46">
            <w:pPr>
              <w:spacing w:before="0" w:beforeAutospacing="off" w:after="0" w:afterAutospacing="off"/>
            </w:pPr>
            <w:r w:rsidR="4B1B53F1">
              <w:rPr/>
              <w:t>Liz R., Account Rep</w:t>
            </w:r>
          </w:p>
        </w:tc>
        <w:tc>
          <w:tcPr>
            <w:tcW w:w="1493" w:type="dxa"/>
            <w:tcMar/>
            <w:vAlign w:val="center"/>
          </w:tcPr>
          <w:p w:rsidR="4B1B53F1" w:rsidP="4B1B53F1" w:rsidRDefault="4B1B53F1" w14:paraId="5E7FF7B9" w14:textId="0E18FF39">
            <w:pPr>
              <w:spacing w:before="0" w:beforeAutospacing="off" w:after="0" w:afterAutospacing="off"/>
            </w:pPr>
            <w:r w:rsidR="4B1B53F1">
              <w:rPr/>
              <w:t>Paper, toner</w:t>
            </w:r>
          </w:p>
        </w:tc>
        <w:tc>
          <w:tcPr>
            <w:tcW w:w="1089" w:type="dxa"/>
            <w:tcMar/>
            <w:vAlign w:val="center"/>
          </w:tcPr>
          <w:p w:rsidR="4B1B53F1" w:rsidP="4B1B53F1" w:rsidRDefault="4B1B53F1" w14:paraId="376ABF74" w14:textId="0CC7237B">
            <w:pPr>
              <w:spacing w:before="0" w:beforeAutospacing="off" w:after="0" w:afterAutospacing="off"/>
            </w:pPr>
            <w:r w:rsidR="4B1B53F1">
              <w:rPr/>
              <w:t>Monthly</w:t>
            </w:r>
          </w:p>
        </w:tc>
        <w:tc>
          <w:tcPr>
            <w:tcW w:w="2640" w:type="dxa"/>
            <w:tcMar/>
            <w:vAlign w:val="center"/>
          </w:tcPr>
          <w:p w:rsidR="4B1B53F1" w:rsidP="4B1B53F1" w:rsidRDefault="4B1B53F1" w14:paraId="6B565ACD" w14:textId="65126BF3">
            <w:pPr>
              <w:spacing w:before="0" w:beforeAutospacing="off" w:after="0" w:afterAutospacing="off"/>
            </w:pPr>
            <w:r w:rsidR="4B1B53F1">
              <w:rPr/>
              <w:t>Always delivers on time</w:t>
            </w:r>
          </w:p>
        </w:tc>
      </w:tr>
      <w:tr w:rsidR="4B1B53F1" w:rsidTr="4B1B53F1" w14:paraId="1058E4D1">
        <w:trPr>
          <w:trHeight w:val="300"/>
        </w:trPr>
        <w:tc>
          <w:tcPr>
            <w:tcW w:w="1576" w:type="dxa"/>
            <w:tcMar/>
            <w:vAlign w:val="center"/>
          </w:tcPr>
          <w:p w:rsidR="4B1B53F1" w:rsidP="4B1B53F1" w:rsidRDefault="4B1B53F1" w14:paraId="0227F88E" w14:textId="44D1B849">
            <w:pPr>
              <w:spacing w:before="0" w:beforeAutospacing="off" w:after="0" w:afterAutospacing="off"/>
            </w:pPr>
            <w:r w:rsidR="4B1B53F1">
              <w:rPr/>
              <w:t>Tech Equipment</w:t>
            </w:r>
          </w:p>
        </w:tc>
        <w:tc>
          <w:tcPr>
            <w:tcW w:w="1793" w:type="dxa"/>
            <w:tcMar/>
            <w:vAlign w:val="center"/>
          </w:tcPr>
          <w:p w:rsidR="4B1B53F1" w:rsidP="4B1B53F1" w:rsidRDefault="4B1B53F1" w14:paraId="7DC24AAD" w14:textId="676678BC">
            <w:pPr>
              <w:spacing w:before="0" w:beforeAutospacing="off" w:after="0" w:afterAutospacing="off"/>
            </w:pPr>
            <w:r w:rsidR="4B1B53F1">
              <w:rPr/>
              <w:t>CDW</w:t>
            </w:r>
          </w:p>
        </w:tc>
        <w:tc>
          <w:tcPr>
            <w:tcW w:w="1966" w:type="dxa"/>
            <w:tcMar/>
            <w:vAlign w:val="center"/>
          </w:tcPr>
          <w:p w:rsidR="03FE0F11" w:rsidP="4B1B53F1" w:rsidRDefault="03FE0F11" w14:paraId="554A443A" w14:textId="6A7896D8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03FE0F11">
              <w:rPr/>
              <w:t>Cari Shaw</w:t>
            </w:r>
          </w:p>
        </w:tc>
        <w:tc>
          <w:tcPr>
            <w:tcW w:w="1493" w:type="dxa"/>
            <w:tcMar/>
            <w:vAlign w:val="center"/>
          </w:tcPr>
          <w:p w:rsidR="4B1B53F1" w:rsidP="4B1B53F1" w:rsidRDefault="4B1B53F1" w14:paraId="1AF8E792" w14:textId="6B8E3E54">
            <w:pPr>
              <w:spacing w:before="0" w:beforeAutospacing="off" w:after="0" w:afterAutospacing="off"/>
            </w:pPr>
            <w:r w:rsidR="4B1B53F1">
              <w:rPr/>
              <w:t>Laptops, cables</w:t>
            </w:r>
          </w:p>
        </w:tc>
        <w:tc>
          <w:tcPr>
            <w:tcW w:w="1089" w:type="dxa"/>
            <w:tcMar/>
            <w:vAlign w:val="center"/>
          </w:tcPr>
          <w:p w:rsidR="4B1B53F1" w:rsidP="4B1B53F1" w:rsidRDefault="4B1B53F1" w14:paraId="519E32D9" w14:textId="0C7AAA52">
            <w:pPr>
              <w:spacing w:before="0" w:beforeAutospacing="off" w:after="0" w:afterAutospacing="off"/>
            </w:pPr>
            <w:r w:rsidR="4B1B53F1">
              <w:rPr/>
              <w:t>2x/year</w:t>
            </w:r>
          </w:p>
        </w:tc>
        <w:tc>
          <w:tcPr>
            <w:tcW w:w="2640" w:type="dxa"/>
            <w:tcMar/>
            <w:vAlign w:val="center"/>
          </w:tcPr>
          <w:p w:rsidR="4B1B53F1" w:rsidP="4B1B53F1" w:rsidRDefault="4B1B53F1" w14:paraId="756A10C5" w14:textId="7F39C970">
            <w:pPr>
              <w:spacing w:before="0" w:beforeAutospacing="off" w:after="0" w:afterAutospacing="off"/>
            </w:pPr>
            <w:r w:rsidR="4B1B53F1">
              <w:rPr/>
              <w:t>Could explore volume discounts</w:t>
            </w:r>
          </w:p>
        </w:tc>
      </w:tr>
      <w:tr w:rsidR="4B1B53F1" w:rsidTr="4B1B53F1" w14:paraId="57FB3484">
        <w:trPr>
          <w:trHeight w:val="300"/>
        </w:trPr>
        <w:tc>
          <w:tcPr>
            <w:tcW w:w="1576" w:type="dxa"/>
            <w:tcMar/>
            <w:vAlign w:val="center"/>
          </w:tcPr>
          <w:p w:rsidR="4B1B53F1" w:rsidP="4B1B53F1" w:rsidRDefault="4B1B53F1" w14:paraId="59CFC82C" w14:textId="63B19409">
            <w:pPr>
              <w:spacing w:before="0" w:beforeAutospacing="off" w:after="0" w:afterAutospacing="off"/>
            </w:pPr>
            <w:r w:rsidR="4B1B53F1">
              <w:rPr/>
              <w:t>Facilities</w:t>
            </w:r>
          </w:p>
        </w:tc>
        <w:tc>
          <w:tcPr>
            <w:tcW w:w="1793" w:type="dxa"/>
            <w:tcMar/>
            <w:vAlign w:val="center"/>
          </w:tcPr>
          <w:p w:rsidR="7B43CB15" w:rsidP="4B1B53F1" w:rsidRDefault="7B43CB15" w14:paraId="0DFD186D" w14:textId="2995212F">
            <w:pPr>
              <w:spacing w:before="0" w:beforeAutospacing="off" w:after="0" w:afterAutospacing="off"/>
            </w:pPr>
            <w:r w:rsidR="7B43CB15">
              <w:rPr/>
              <w:t>Grainger</w:t>
            </w:r>
          </w:p>
        </w:tc>
        <w:tc>
          <w:tcPr>
            <w:tcW w:w="1966" w:type="dxa"/>
            <w:tcMar/>
            <w:vAlign w:val="center"/>
          </w:tcPr>
          <w:p w:rsidR="4B1B53F1" w:rsidP="4B1B53F1" w:rsidRDefault="4B1B53F1" w14:paraId="509E9397" w14:textId="5D1A6F11">
            <w:pPr>
              <w:spacing w:before="0" w:beforeAutospacing="off" w:after="0" w:afterAutospacing="off"/>
            </w:pPr>
            <w:r w:rsidR="4B1B53F1">
              <w:rPr/>
              <w:t>Jose A.</w:t>
            </w:r>
          </w:p>
        </w:tc>
        <w:tc>
          <w:tcPr>
            <w:tcW w:w="1493" w:type="dxa"/>
            <w:tcMar/>
            <w:vAlign w:val="center"/>
          </w:tcPr>
          <w:p w:rsidR="4B1B53F1" w:rsidP="4B1B53F1" w:rsidRDefault="4B1B53F1" w14:paraId="57A61896" w14:textId="464C30D9">
            <w:pPr>
              <w:spacing w:before="0" w:beforeAutospacing="off" w:after="0" w:afterAutospacing="off"/>
            </w:pPr>
            <w:r w:rsidR="4B1B53F1">
              <w:rPr/>
              <w:t>Repairs, parts</w:t>
            </w:r>
          </w:p>
        </w:tc>
        <w:tc>
          <w:tcPr>
            <w:tcW w:w="1089" w:type="dxa"/>
            <w:tcMar/>
            <w:vAlign w:val="center"/>
          </w:tcPr>
          <w:p w:rsidR="4B1B53F1" w:rsidP="4B1B53F1" w:rsidRDefault="4B1B53F1" w14:paraId="47BDE8DF" w14:textId="4B212104">
            <w:pPr>
              <w:spacing w:before="0" w:beforeAutospacing="off" w:after="0" w:afterAutospacing="off"/>
            </w:pPr>
            <w:r w:rsidR="4B1B53F1">
              <w:rPr/>
              <w:t>As needed</w:t>
            </w:r>
          </w:p>
        </w:tc>
        <w:tc>
          <w:tcPr>
            <w:tcW w:w="2640" w:type="dxa"/>
            <w:tcMar/>
            <w:vAlign w:val="center"/>
          </w:tcPr>
          <w:p w:rsidR="4B1B53F1" w:rsidP="4B1B53F1" w:rsidRDefault="4B1B53F1" w14:paraId="1CAD353C" w14:textId="089058F4">
            <w:pPr>
              <w:spacing w:before="0" w:beforeAutospacing="off" w:after="0" w:afterAutospacing="off"/>
            </w:pPr>
            <w:r w:rsidR="4B1B53F1">
              <w:rPr/>
              <w:t>Small, but responsive</w:t>
            </w:r>
          </w:p>
        </w:tc>
      </w:tr>
    </w:tbl>
    <w:p xmlns:wp14="http://schemas.microsoft.com/office/word/2010/wordml" w:rsidP="7AA58218" wp14:paraId="21D850F3" wp14:textId="12647A50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You can expand with fields like:</w:t>
      </w:r>
    </w:p>
    <w:p xmlns:wp14="http://schemas.microsoft.com/office/word/2010/wordml" w:rsidP="4B1B53F1" wp14:paraId="3398B47B" wp14:textId="7CD7270F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Preferred/not preferred</w:t>
      </w:r>
    </w:p>
    <w:p xmlns:wp14="http://schemas.microsoft.com/office/word/2010/wordml" w:rsidP="4B1B53F1" wp14:paraId="637FAF7C" wp14:textId="62F6B56A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Contracted or informal</w:t>
      </w:r>
    </w:p>
    <w:p xmlns:wp14="http://schemas.microsoft.com/office/word/2010/wordml" w:rsidP="4B1B53F1" wp14:paraId="6D9E1DBB" wp14:textId="0A305A29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Contract expiration date</w:t>
      </w:r>
    </w:p>
    <w:p xmlns:wp14="http://schemas.microsoft.com/office/word/2010/wordml" w:rsidP="7AA58218" wp14:paraId="4A5DCB92" wp14:textId="745BE968">
      <w:pPr>
        <w:spacing w:before="240" w:beforeAutospacing="off" w:after="240" w:afterAutospacing="off"/>
      </w:pPr>
    </w:p>
    <w:p xmlns:wp14="http://schemas.microsoft.com/office/word/2010/wordml" w:rsidP="4B1B53F1" wp14:paraId="57464BEE" wp14:textId="7FF27F7B">
      <w:pPr>
        <w:pStyle w:val="Heading3"/>
        <w:spacing w:before="281" w:beforeAutospacing="off" w:after="281" w:afterAutospacing="off"/>
      </w:pPr>
      <w:r w:rsidRPr="4B1B53F1" w:rsidR="102B24C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🧩 Step 2: Identify Key Dependencies</w:t>
      </w:r>
    </w:p>
    <w:p xmlns:wp14="http://schemas.microsoft.com/office/word/2010/wordml" w:rsidP="7AA58218" wp14:paraId="0E539FEF" wp14:textId="74207A81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Add icons or color-coding to show:</w:t>
      </w:r>
    </w:p>
    <w:p xmlns:wp14="http://schemas.microsoft.com/office/word/2010/wordml" w:rsidP="4B1B53F1" wp14:paraId="694B5387" wp14:textId="6285A48D">
      <w:pPr>
        <w:pStyle w:val="ListParagraph"/>
        <w:numPr>
          <w:ilvl w:val="0"/>
          <w:numId w:val="2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✅ Vendors you rely on frequently</w:t>
      </w:r>
    </w:p>
    <w:p xmlns:wp14="http://schemas.microsoft.com/office/word/2010/wordml" w:rsidP="4B1B53F1" wp14:paraId="1393080C" wp14:textId="238446D0">
      <w:pPr>
        <w:pStyle w:val="ListParagraph"/>
        <w:numPr>
          <w:ilvl w:val="0"/>
          <w:numId w:val="2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⚠️ Vendors tied to single-person knowledge (i.e., “only one person knows how to work with them”)</w:t>
      </w:r>
    </w:p>
    <w:p xmlns:wp14="http://schemas.microsoft.com/office/word/2010/wordml" w:rsidP="4B1B53F1" wp14:paraId="7831ABCC" wp14:textId="0E5E0884">
      <w:pPr>
        <w:pStyle w:val="ListParagraph"/>
        <w:numPr>
          <w:ilvl w:val="0"/>
          <w:numId w:val="2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🔁 Vendors you could consolidate or compare for pricing</w:t>
      </w:r>
    </w:p>
    <w:p xmlns:wp14="http://schemas.microsoft.com/office/word/2010/wordml" w:rsidP="7AA58218" wp14:paraId="2CE487E8" wp14:textId="1F319C7B">
      <w:pPr>
        <w:spacing w:before="240" w:beforeAutospacing="off" w:after="240" w:afterAutospacing="off"/>
      </w:pPr>
    </w:p>
    <w:p xmlns:wp14="http://schemas.microsoft.com/office/word/2010/wordml" w:rsidP="4B1B53F1" wp14:paraId="002F320E" wp14:textId="06FE1316">
      <w:pPr>
        <w:pStyle w:val="Heading3"/>
        <w:spacing w:before="281" w:beforeAutospacing="off" w:after="281" w:afterAutospacing="off"/>
      </w:pPr>
      <w:r w:rsidRPr="4B1B53F1" w:rsidR="102B24C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📈 Step 3: Spot Gaps &amp; Opportunities</w:t>
      </w:r>
    </w:p>
    <w:p xmlns:wp14="http://schemas.microsoft.com/office/word/2010/wordml" w:rsidP="7AA58218" wp14:paraId="1AB482F2" wp14:textId="29B3657A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Look across your map and ask:</w:t>
      </w:r>
    </w:p>
    <w:p xmlns:wp14="http://schemas.microsoft.com/office/word/2010/wordml" w:rsidP="4B1B53F1" wp14:paraId="03FDE10A" wp14:textId="1551495B">
      <w:pPr>
        <w:pStyle w:val="ListParagraph"/>
        <w:numPr>
          <w:ilvl w:val="0"/>
          <w:numId w:val="2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Are you over-relying on one vendor or category?</w:t>
      </w:r>
    </w:p>
    <w:p xmlns:wp14="http://schemas.microsoft.com/office/word/2010/wordml" w:rsidP="4B1B53F1" wp14:paraId="7C042A65" wp14:textId="27BA4687">
      <w:pPr>
        <w:pStyle w:val="ListParagraph"/>
        <w:numPr>
          <w:ilvl w:val="0"/>
          <w:numId w:val="2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Could you benefit from vendor consolidation?</w:t>
      </w:r>
    </w:p>
    <w:p xmlns:wp14="http://schemas.microsoft.com/office/word/2010/wordml" w:rsidP="4B1B53F1" wp14:paraId="44AB0AC2" wp14:textId="08D3F509">
      <w:pPr>
        <w:pStyle w:val="ListParagraph"/>
        <w:numPr>
          <w:ilvl w:val="0"/>
          <w:numId w:val="2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>Are there vendors without contracts, documentation, or clear expectations?</w:t>
      </w:r>
    </w:p>
    <w:p xmlns:wp14="http://schemas.microsoft.com/office/word/2010/wordml" w:rsidP="4B1B53F1" wp14:paraId="74A85BB8" wp14:textId="06A3E8A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7AA58218" wp14:paraId="35C40519" wp14:textId="2AF3CC11">
      <w:pPr>
        <w:spacing w:before="240" w:beforeAutospacing="off" w:after="240" w:afterAutospacing="off"/>
      </w:pPr>
      <w:r w:rsidRPr="4B1B53F1" w:rsidR="102B24C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Tip:</w:t>
      </w:r>
      <w:r w:rsidRPr="4B1B53F1" w:rsidR="102B24C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Use this map in procurement planning meetings to make decisions feel more collaborative and data-informed.</w:t>
      </w:r>
    </w:p>
    <w:p xmlns:wp14="http://schemas.microsoft.com/office/word/2010/wordml" w:rsidP="7AA58218" wp14:paraId="38380376" wp14:textId="384E4AD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9">
    <w:nsid w:val="5bc06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12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1c80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c443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3d1c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596c8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0eb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3FE0F11"/>
    <w:rsid w:val="0446AE1E"/>
    <w:rsid w:val="067FE328"/>
    <w:rsid w:val="08F6AE88"/>
    <w:rsid w:val="0A056F1F"/>
    <w:rsid w:val="0FA51B84"/>
    <w:rsid w:val="102B24CB"/>
    <w:rsid w:val="10F21298"/>
    <w:rsid w:val="11F605EA"/>
    <w:rsid w:val="129F1D0E"/>
    <w:rsid w:val="13F6961E"/>
    <w:rsid w:val="162D556B"/>
    <w:rsid w:val="162D556B"/>
    <w:rsid w:val="171A61E1"/>
    <w:rsid w:val="184DF9F0"/>
    <w:rsid w:val="18C6D312"/>
    <w:rsid w:val="1A77C729"/>
    <w:rsid w:val="1ABAEE4A"/>
    <w:rsid w:val="1D880B14"/>
    <w:rsid w:val="23B08195"/>
    <w:rsid w:val="269C9714"/>
    <w:rsid w:val="277139CE"/>
    <w:rsid w:val="2C7832B8"/>
    <w:rsid w:val="301D5EE3"/>
    <w:rsid w:val="302DE811"/>
    <w:rsid w:val="3477EAA9"/>
    <w:rsid w:val="35ACB261"/>
    <w:rsid w:val="361357B5"/>
    <w:rsid w:val="37F05280"/>
    <w:rsid w:val="395A7299"/>
    <w:rsid w:val="39743C4D"/>
    <w:rsid w:val="41C05354"/>
    <w:rsid w:val="47772B9E"/>
    <w:rsid w:val="47901B15"/>
    <w:rsid w:val="480188B3"/>
    <w:rsid w:val="494C0F7C"/>
    <w:rsid w:val="49EEE53C"/>
    <w:rsid w:val="4A50A467"/>
    <w:rsid w:val="4B1B53F1"/>
    <w:rsid w:val="502A46FA"/>
    <w:rsid w:val="51EFBB5F"/>
    <w:rsid w:val="5DB64BAE"/>
    <w:rsid w:val="5EAF4BA9"/>
    <w:rsid w:val="6124AE2D"/>
    <w:rsid w:val="6221DCA7"/>
    <w:rsid w:val="63BB1769"/>
    <w:rsid w:val="63BB1769"/>
    <w:rsid w:val="657766AA"/>
    <w:rsid w:val="6598EBE9"/>
    <w:rsid w:val="69DA563F"/>
    <w:rsid w:val="69DA563F"/>
    <w:rsid w:val="70BEDEFD"/>
    <w:rsid w:val="71517AB0"/>
    <w:rsid w:val="72139C28"/>
    <w:rsid w:val="75E8B621"/>
    <w:rsid w:val="78716468"/>
    <w:rsid w:val="79211DF0"/>
    <w:rsid w:val="79211DF0"/>
    <w:rsid w:val="79DAADE5"/>
    <w:rsid w:val="7AA58218"/>
    <w:rsid w:val="7B27E264"/>
    <w:rsid w:val="7B3A28CD"/>
    <w:rsid w:val="7B43CB15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2025-05-30T14:41:01.1827427Z</dcterms:modified>
  <dc:creator>Daniela Parra Milic</dc:creator>
  <lastModifiedBy>Daniela Parra Milic</lastModifiedBy>
</coreProperties>
</file>