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2.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tbl>
      <w:tblPr>
        <w:tblStyle w:val="TableGrid"/>
        <w:tblW w:w="0" w:type="auto"/>
        <w:tblBorders>
          <w:top w:val="none" w:color="000000" w:themeColor="text1" w:sz="12"/>
          <w:left w:val="none" w:color="000000" w:themeColor="text1" w:sz="12"/>
          <w:bottom w:val="none" w:color="000000" w:themeColor="text1" w:sz="12"/>
          <w:right w:val="none" w:color="000000" w:themeColor="text1" w:sz="12"/>
          <w:insideH w:val="none" w:color="000000" w:themeColor="text1" w:sz="12"/>
          <w:insideV w:val="none" w:color="000000" w:themeColor="text1" w:sz="12"/>
        </w:tblBorders>
        <w:tblLayout w:type="fixed"/>
        <w:tblLook w:val="06A0" w:firstRow="1" w:lastRow="0" w:firstColumn="1" w:lastColumn="0" w:noHBand="1" w:noVBand="1"/>
      </w:tblPr>
      <w:tblGrid>
        <w:gridCol w:w="3195"/>
        <w:gridCol w:w="6165"/>
      </w:tblGrid>
      <w:tr w:rsidR="47772B9E" w:rsidTr="2C7832B8" w14:paraId="48850EDD">
        <w:trPr>
          <w:trHeight w:val="300"/>
        </w:trPr>
        <w:tc>
          <w:tcPr>
            <w:tcW w:w="3195" w:type="dxa"/>
            <w:tcBorders>
              <w:right w:val="single" w:color="7F7F7F" w:themeColor="text1" w:themeTint="80" w:sz="12"/>
            </w:tcBorders>
            <w:tcMar/>
          </w:tcPr>
          <w:p w:rsidR="47772B9E" w:rsidP="47772B9E" w:rsidRDefault="47772B9E" w14:paraId="62B6658A" w14:textId="72517F16">
            <w:pPr>
              <w:jc w:val="left"/>
              <w:rPr>
                <w:sz w:val="32"/>
                <w:szCs w:val="32"/>
              </w:rPr>
            </w:pPr>
          </w:p>
          <w:p w:rsidR="361357B5" w:rsidP="47772B9E" w:rsidRDefault="361357B5" w14:paraId="1421E89F" w14:textId="26293009">
            <w:pPr>
              <w:jc w:val="left"/>
              <w:rPr>
                <w:noProof w:val="0"/>
                <w:lang w:val="en-US"/>
              </w:rPr>
            </w:pPr>
            <w:r w:rsidR="361357B5">
              <w:drawing>
                <wp:inline wp14:editId="4345F5C6" wp14:anchorId="2FA7FD8D">
                  <wp:extent cx="1609725" cy="642342"/>
                  <wp:effectExtent l="0" t="0" r="0" b="0"/>
                  <wp:docPr id="643367067" name="" title=""/>
                  <wp:cNvGraphicFramePr>
                    <a:graphicFrameLocks noChangeAspect="1"/>
                  </wp:cNvGraphicFramePr>
                  <a:graphic>
                    <a:graphicData uri="http://schemas.openxmlformats.org/drawingml/2006/picture">
                      <pic:pic>
                        <pic:nvPicPr>
                          <pic:cNvPr id="0" name=""/>
                          <pic:cNvPicPr/>
                        </pic:nvPicPr>
                        <pic:blipFill>
                          <a:blip r:embed="R871107774c644dd0">
                            <a:extLst>
                              <a:ext xmlns:a="http://schemas.openxmlformats.org/drawingml/2006/main" uri="{28A0092B-C50C-407E-A947-70E740481C1C}">
                                <a14:useLocalDpi val="0"/>
                              </a:ext>
                            </a:extLst>
                          </a:blip>
                          <a:stretch>
                            <a:fillRect/>
                          </a:stretch>
                        </pic:blipFill>
                        <pic:spPr>
                          <a:xfrm>
                            <a:off x="0" y="0"/>
                            <a:ext cx="1609725" cy="642342"/>
                          </a:xfrm>
                          <a:prstGeom prst="rect">
                            <a:avLst/>
                          </a:prstGeom>
                        </pic:spPr>
                      </pic:pic>
                    </a:graphicData>
                  </a:graphic>
                </wp:inline>
              </w:drawing>
            </w:r>
          </w:p>
        </w:tc>
        <w:tc>
          <w:tcPr>
            <w:tcW w:w="6165" w:type="dxa"/>
            <w:tcBorders>
              <w:left w:val="single" w:color="7F7F7F" w:themeColor="text1" w:themeTint="80" w:sz="12"/>
            </w:tcBorders>
            <w:tcMar/>
          </w:tcPr>
          <w:p w:rsidR="480188B3" w:rsidP="2C7832B8" w:rsidRDefault="480188B3" w14:paraId="281FADD2" w14:textId="59210A72">
            <w:pPr>
              <w:pStyle w:val="Heading1"/>
              <w:spacing w:before="322" w:beforeAutospacing="off" w:after="322" w:afterAutospacing="off"/>
              <w:rPr>
                <w:rFonts w:ascii="Aptos Display" w:hAnsi="Aptos Display" w:eastAsia="" w:cs="" w:asciiTheme="majorAscii" w:hAnsiTheme="majorAscii" w:eastAsiaTheme="majorEastAsia" w:cstheme="majorBidi"/>
                <w:b w:val="1"/>
                <w:bCs w:val="1"/>
                <w:noProof w:val="0"/>
                <w:color w:val="0F4761" w:themeColor="accent1" w:themeTint="FF" w:themeShade="BF"/>
                <w:sz w:val="48"/>
                <w:szCs w:val="48"/>
                <w:lang w:val="en-US" w:eastAsia="ja-JP" w:bidi="ar-SA"/>
              </w:rPr>
            </w:pPr>
            <w:r w:rsidRPr="2C7832B8" w:rsidR="494C0F7C">
              <w:rPr>
                <w:rFonts w:ascii="Aptos Display" w:hAnsi="Aptos Display" w:eastAsia="" w:cs="" w:asciiTheme="majorAscii" w:hAnsiTheme="majorAscii" w:eastAsiaTheme="majorEastAsia" w:cstheme="majorBidi"/>
                <w:b w:val="1"/>
                <w:bCs w:val="1"/>
                <w:noProof w:val="0"/>
                <w:color w:val="0F4761" w:themeColor="accent1" w:themeTint="FF" w:themeShade="BF"/>
                <w:sz w:val="48"/>
                <w:szCs w:val="48"/>
                <w:lang w:val="en-US" w:eastAsia="ja-JP" w:bidi="ar-SA"/>
              </w:rPr>
              <w:t>Policy Refresh Checklist</w:t>
            </w:r>
          </w:p>
        </w:tc>
      </w:tr>
    </w:tbl>
    <w:p xmlns:wp14="http://schemas.microsoft.com/office/word/2010/wordml" w:rsidP="47772B9E" wp14:paraId="4F7C2F01" wp14:textId="7041BEA5">
      <w:pPr>
        <w:spacing w:before="240" w:beforeAutospacing="off" w:after="240" w:afterAutospacing="off"/>
      </w:pPr>
      <w:r w:rsidRPr="7AA58218" w:rsidR="41C05354">
        <w:rPr>
          <w:rFonts w:ascii="Aptos" w:hAnsi="Aptos" w:eastAsia="Aptos" w:cs="Aptos"/>
          <w:b w:val="1"/>
          <w:bCs w:val="1"/>
          <w:noProof w:val="0"/>
          <w:sz w:val="24"/>
          <w:szCs w:val="24"/>
          <w:lang w:val="en-US"/>
        </w:rPr>
        <w:t>Prepared by BuyQ Consulting Services</w:t>
      </w:r>
    </w:p>
    <w:p xmlns:wp14="http://schemas.microsoft.com/office/word/2010/wordml" w:rsidP="7AA58218" wp14:paraId="38380376" wp14:textId="64CE96E8">
      <w:pPr>
        <w:spacing w:before="240" w:beforeAutospacing="off" w:after="240" w:afterAutospacing="off"/>
        <w:rPr>
          <w:rFonts w:ascii="Aptos" w:hAnsi="Aptos" w:eastAsia="Aptos" w:cs="Aptos"/>
          <w:b w:val="1"/>
          <w:bCs w:val="1"/>
          <w:noProof w:val="0"/>
          <w:sz w:val="24"/>
          <w:szCs w:val="24"/>
          <w:lang w:val="en-US"/>
        </w:rPr>
      </w:pPr>
    </w:p>
    <w:p w:rsidR="37F05280" w:rsidP="2C7832B8" w:rsidRDefault="37F05280" w14:paraId="76B8E883" w14:textId="6F26E440">
      <w:pPr>
        <w:spacing w:before="240" w:beforeAutospacing="off" w:after="240" w:afterAutospacing="off"/>
      </w:pPr>
      <w:r w:rsidRPr="2C7832B8" w:rsidR="37F05280">
        <w:rPr>
          <w:rFonts w:ascii="Aptos" w:hAnsi="Aptos" w:eastAsia="Aptos" w:cs="Aptos"/>
          <w:b w:val="1"/>
          <w:bCs w:val="1"/>
          <w:noProof w:val="0"/>
          <w:sz w:val="24"/>
          <w:szCs w:val="24"/>
          <w:lang w:val="en-US"/>
        </w:rPr>
        <w:t>For reviewing and updating procurement policies to fit today’s needs</w:t>
      </w:r>
    </w:p>
    <w:p w:rsidR="37F05280" w:rsidP="2C7832B8" w:rsidRDefault="37F05280" w14:paraId="371444A2" w14:textId="685ACF8F">
      <w:pPr>
        <w:spacing w:before="240" w:beforeAutospacing="off" w:after="240" w:afterAutospacing="off"/>
      </w:pPr>
      <w:r w:rsidRPr="2C7832B8" w:rsidR="37F05280">
        <w:rPr>
          <w:rFonts w:ascii="Aptos" w:hAnsi="Aptos" w:eastAsia="Aptos" w:cs="Aptos"/>
          <w:noProof w:val="0"/>
          <w:sz w:val="24"/>
          <w:szCs w:val="24"/>
          <w:lang w:val="en-US"/>
        </w:rPr>
        <w:t xml:space="preserve">Even solid procurement policies can become outdated as your school or network evolves. This checklist helps you assess what’s working, what’s slowing things down, and where updates could improve both compliance </w:t>
      </w:r>
      <w:r w:rsidRPr="2C7832B8" w:rsidR="37F05280">
        <w:rPr>
          <w:rFonts w:ascii="Aptos" w:hAnsi="Aptos" w:eastAsia="Aptos" w:cs="Aptos"/>
          <w:i w:val="1"/>
          <w:iCs w:val="1"/>
          <w:noProof w:val="0"/>
          <w:sz w:val="24"/>
          <w:szCs w:val="24"/>
          <w:lang w:val="en-US"/>
        </w:rPr>
        <w:t>and</w:t>
      </w:r>
      <w:r w:rsidRPr="2C7832B8" w:rsidR="37F05280">
        <w:rPr>
          <w:rFonts w:ascii="Aptos" w:hAnsi="Aptos" w:eastAsia="Aptos" w:cs="Aptos"/>
          <w:noProof w:val="0"/>
          <w:sz w:val="24"/>
          <w:szCs w:val="24"/>
          <w:lang w:val="en-US"/>
        </w:rPr>
        <w:t xml:space="preserve"> usability.</w:t>
      </w:r>
    </w:p>
    <w:p w:rsidR="2C7832B8" w:rsidRDefault="2C7832B8" w14:paraId="4E29ACD2" w14:textId="736FBEAA"/>
    <w:p w:rsidR="37F05280" w:rsidP="2C7832B8" w:rsidRDefault="37F05280" w14:paraId="59D7EFC6" w14:textId="71FD84B0">
      <w:pPr>
        <w:pStyle w:val="Heading3"/>
        <w:spacing w:before="281" w:beforeAutospacing="off" w:after="281" w:afterAutospacing="off"/>
      </w:pPr>
      <w:r w:rsidRPr="2C7832B8" w:rsidR="37F05280">
        <w:rPr>
          <w:rFonts w:ascii="Aptos" w:hAnsi="Aptos" w:eastAsia="Aptos" w:cs="Aptos"/>
          <w:b w:val="1"/>
          <w:bCs w:val="1"/>
          <w:noProof w:val="0"/>
          <w:sz w:val="28"/>
          <w:szCs w:val="28"/>
          <w:lang w:val="en-US"/>
        </w:rPr>
        <w:t>🔍 Step 1: Check for Clarity</w:t>
      </w:r>
    </w:p>
    <w:p w:rsidR="37F05280" w:rsidP="2C7832B8" w:rsidRDefault="37F05280" w14:paraId="456ADD29" w14:textId="6BDDCDE8">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2C7832B8" w:rsidR="37F05280">
        <w:rPr>
          <w:rFonts w:ascii="Aptos" w:hAnsi="Aptos" w:eastAsia="Aptos" w:cs="Aptos"/>
          <w:noProof w:val="0"/>
          <w:sz w:val="24"/>
          <w:szCs w:val="24"/>
          <w:lang w:val="en-US"/>
        </w:rPr>
        <w:t>Are your procurement thresholds (e.g., quotes required, approval levels) clearly defined?</w:t>
      </w:r>
    </w:p>
    <w:p w:rsidR="37F05280" w:rsidP="2C7832B8" w:rsidRDefault="37F05280" w14:paraId="1E3B2E16" w14:textId="593CCD2A">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2C7832B8" w:rsidR="37F05280">
        <w:rPr>
          <w:rFonts w:ascii="Aptos" w:hAnsi="Aptos" w:eastAsia="Aptos" w:cs="Aptos"/>
          <w:noProof w:val="0"/>
          <w:sz w:val="24"/>
          <w:szCs w:val="24"/>
          <w:lang w:val="en-US"/>
        </w:rPr>
        <w:t xml:space="preserve">Is the policy written in </w:t>
      </w:r>
      <w:r w:rsidRPr="2C7832B8" w:rsidR="37F05280">
        <w:rPr>
          <w:rFonts w:ascii="Aptos" w:hAnsi="Aptos" w:eastAsia="Aptos" w:cs="Aptos"/>
          <w:b w:val="1"/>
          <w:bCs w:val="1"/>
          <w:noProof w:val="0"/>
          <w:sz w:val="24"/>
          <w:szCs w:val="24"/>
          <w:lang w:val="en-US"/>
        </w:rPr>
        <w:t>plain language</w:t>
      </w:r>
      <w:r w:rsidRPr="2C7832B8" w:rsidR="37F05280">
        <w:rPr>
          <w:rFonts w:ascii="Aptos" w:hAnsi="Aptos" w:eastAsia="Aptos" w:cs="Aptos"/>
          <w:noProof w:val="0"/>
          <w:sz w:val="24"/>
          <w:szCs w:val="24"/>
          <w:lang w:val="en-US"/>
        </w:rPr>
        <w:t xml:space="preserve"> that staff can understand?</w:t>
      </w:r>
    </w:p>
    <w:p w:rsidR="37F05280" w:rsidP="2C7832B8" w:rsidRDefault="37F05280" w14:paraId="4D4131F6" w14:textId="60CAA533">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2C7832B8" w:rsidR="37F05280">
        <w:rPr>
          <w:rFonts w:ascii="Aptos" w:hAnsi="Aptos" w:eastAsia="Aptos" w:cs="Aptos"/>
          <w:noProof w:val="0"/>
          <w:sz w:val="24"/>
          <w:szCs w:val="24"/>
          <w:lang w:val="en-US"/>
        </w:rPr>
        <w:t>Are common processes (e.g., vendor selection, purchase requests) documented step-by-step?</w:t>
      </w:r>
    </w:p>
    <w:p w:rsidR="2C7832B8" w:rsidRDefault="2C7832B8" w14:paraId="56DFA94E" w14:textId="247EB125"/>
    <w:p w:rsidR="37F05280" w:rsidP="2C7832B8" w:rsidRDefault="37F05280" w14:paraId="26FAB086" w14:textId="649EA05D">
      <w:pPr>
        <w:pStyle w:val="Heading3"/>
        <w:spacing w:before="281" w:beforeAutospacing="off" w:after="281" w:afterAutospacing="off"/>
      </w:pPr>
      <w:r w:rsidRPr="2C7832B8" w:rsidR="37F05280">
        <w:rPr>
          <w:rFonts w:ascii="Aptos" w:hAnsi="Aptos" w:eastAsia="Aptos" w:cs="Aptos"/>
          <w:b w:val="1"/>
          <w:bCs w:val="1"/>
          <w:noProof w:val="0"/>
          <w:sz w:val="28"/>
          <w:szCs w:val="28"/>
          <w:lang w:val="en-US"/>
        </w:rPr>
        <w:t>🔄 Step 2: Review for Relevance</w:t>
      </w:r>
    </w:p>
    <w:p w:rsidR="37F05280" w:rsidP="2C7832B8" w:rsidRDefault="37F05280" w14:paraId="638E1505" w14:textId="48B4E001">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2C7832B8" w:rsidR="37F05280">
        <w:rPr>
          <w:rFonts w:ascii="Aptos" w:hAnsi="Aptos" w:eastAsia="Aptos" w:cs="Aptos"/>
          <w:noProof w:val="0"/>
          <w:sz w:val="24"/>
          <w:szCs w:val="24"/>
          <w:lang w:val="en-US"/>
        </w:rPr>
        <w:t xml:space="preserve">Does the policy reflect your </w:t>
      </w:r>
      <w:r w:rsidRPr="2C7832B8" w:rsidR="37F05280">
        <w:rPr>
          <w:rFonts w:ascii="Aptos" w:hAnsi="Aptos" w:eastAsia="Aptos" w:cs="Aptos"/>
          <w:b w:val="1"/>
          <w:bCs w:val="1"/>
          <w:noProof w:val="0"/>
          <w:sz w:val="24"/>
          <w:szCs w:val="24"/>
          <w:lang w:val="en-US"/>
        </w:rPr>
        <w:t>current funding sources and compliance rules</w:t>
      </w:r>
      <w:r w:rsidRPr="2C7832B8" w:rsidR="37F05280">
        <w:rPr>
          <w:rFonts w:ascii="Aptos" w:hAnsi="Aptos" w:eastAsia="Aptos" w:cs="Aptos"/>
          <w:noProof w:val="0"/>
          <w:sz w:val="24"/>
          <w:szCs w:val="24"/>
          <w:lang w:val="en-US"/>
        </w:rPr>
        <w:t xml:space="preserve"> (e.g., ESSER, Title I)?</w:t>
      </w:r>
    </w:p>
    <w:p w:rsidR="37F05280" w:rsidP="2C7832B8" w:rsidRDefault="37F05280" w14:paraId="6923156F" w14:textId="6BF953DC">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2C7832B8" w:rsidR="37F05280">
        <w:rPr>
          <w:rFonts w:ascii="Aptos" w:hAnsi="Aptos" w:eastAsia="Aptos" w:cs="Aptos"/>
          <w:noProof w:val="0"/>
          <w:sz w:val="24"/>
          <w:szCs w:val="24"/>
          <w:lang w:val="en-US"/>
        </w:rPr>
        <w:t>Are the listed vendors or platforms still accurate and up to date?</w:t>
      </w:r>
    </w:p>
    <w:p w:rsidR="37F05280" w:rsidP="2C7832B8" w:rsidRDefault="37F05280" w14:paraId="58E5CA92" w14:textId="07F08509">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2C7832B8" w:rsidR="37F05280">
        <w:rPr>
          <w:rFonts w:ascii="Aptos" w:hAnsi="Aptos" w:eastAsia="Aptos" w:cs="Aptos"/>
          <w:noProof w:val="0"/>
          <w:sz w:val="24"/>
          <w:szCs w:val="24"/>
          <w:lang w:val="en-US"/>
        </w:rPr>
        <w:t>Has your school’s structure or size changed—requiring adjustments to roles/responsibilities?</w:t>
      </w:r>
    </w:p>
    <w:p w:rsidR="2C7832B8" w:rsidRDefault="2C7832B8" w14:paraId="444AC8DB" w14:textId="5DE83A3C"/>
    <w:p w:rsidR="37F05280" w:rsidP="2C7832B8" w:rsidRDefault="37F05280" w14:paraId="538FB783" w14:textId="75430C05">
      <w:pPr>
        <w:pStyle w:val="Heading3"/>
        <w:spacing w:before="281" w:beforeAutospacing="off" w:after="281" w:afterAutospacing="off"/>
      </w:pPr>
      <w:r w:rsidRPr="2C7832B8" w:rsidR="37F05280">
        <w:rPr>
          <w:rFonts w:ascii="Aptos" w:hAnsi="Aptos" w:eastAsia="Aptos" w:cs="Aptos"/>
          <w:b w:val="1"/>
          <w:bCs w:val="1"/>
          <w:noProof w:val="0"/>
          <w:sz w:val="28"/>
          <w:szCs w:val="28"/>
          <w:lang w:val="en-US"/>
        </w:rPr>
        <w:t>⚙️ Step 3: Evaluate Practical Use</w:t>
      </w:r>
    </w:p>
    <w:p w:rsidR="37F05280" w:rsidP="2C7832B8" w:rsidRDefault="37F05280" w14:paraId="3BD0CE9D" w14:textId="44CEF52E">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2C7832B8" w:rsidR="37F05280">
        <w:rPr>
          <w:rFonts w:ascii="Aptos" w:hAnsi="Aptos" w:eastAsia="Aptos" w:cs="Aptos"/>
          <w:noProof w:val="0"/>
          <w:sz w:val="24"/>
          <w:szCs w:val="24"/>
          <w:lang w:val="en-US"/>
        </w:rPr>
        <w:t>Is the policy being followed consistently?</w:t>
      </w:r>
    </w:p>
    <w:p w:rsidR="37F05280" w:rsidP="2C7832B8" w:rsidRDefault="37F05280" w14:paraId="08C32CE0" w14:textId="16D3C263">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2C7832B8" w:rsidR="37F05280">
        <w:rPr>
          <w:rFonts w:ascii="Aptos" w:hAnsi="Aptos" w:eastAsia="Aptos" w:cs="Aptos"/>
          <w:noProof w:val="0"/>
          <w:sz w:val="24"/>
          <w:szCs w:val="24"/>
          <w:lang w:val="en-US"/>
        </w:rPr>
        <w:t>Have staff received training or onboarding on procurement expectations?</w:t>
      </w:r>
    </w:p>
    <w:p w:rsidR="37F05280" w:rsidP="2C7832B8" w:rsidRDefault="37F05280" w14:paraId="62BF2C95" w14:textId="1157BE53">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2C7832B8" w:rsidR="37F05280">
        <w:rPr>
          <w:rFonts w:ascii="Aptos" w:hAnsi="Aptos" w:eastAsia="Aptos" w:cs="Aptos"/>
          <w:noProof w:val="0"/>
          <w:sz w:val="24"/>
          <w:szCs w:val="24"/>
          <w:lang w:val="en-US"/>
        </w:rPr>
        <w:t>Are any rules routinely bypassed (suggesting a need for adjustment)?</w:t>
      </w:r>
    </w:p>
    <w:p w:rsidR="2C7832B8" w:rsidRDefault="2C7832B8" w14:paraId="79446EB1" w14:textId="29F43484"/>
    <w:p w:rsidR="37F05280" w:rsidP="2C7832B8" w:rsidRDefault="37F05280" w14:paraId="60BFCA26" w14:textId="5D1C3D4A">
      <w:pPr>
        <w:pStyle w:val="Heading3"/>
        <w:spacing w:before="281" w:beforeAutospacing="off" w:after="281" w:afterAutospacing="off"/>
      </w:pPr>
      <w:r w:rsidRPr="2C7832B8" w:rsidR="37F05280">
        <w:rPr>
          <w:rFonts w:ascii="Aptos" w:hAnsi="Aptos" w:eastAsia="Aptos" w:cs="Aptos"/>
          <w:b w:val="1"/>
          <w:bCs w:val="1"/>
          <w:noProof w:val="0"/>
          <w:sz w:val="28"/>
          <w:szCs w:val="28"/>
          <w:lang w:val="en-US"/>
        </w:rPr>
        <w:t>📁 Step 4: Document Updates</w:t>
      </w:r>
    </w:p>
    <w:p w:rsidR="37F05280" w:rsidP="2C7832B8" w:rsidRDefault="37F05280" w14:paraId="0810634B" w14:textId="3049CB5F">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2C7832B8" w:rsidR="37F05280">
        <w:rPr>
          <w:rFonts w:ascii="Aptos" w:hAnsi="Aptos" w:eastAsia="Aptos" w:cs="Aptos"/>
          <w:noProof w:val="0"/>
          <w:sz w:val="24"/>
          <w:szCs w:val="24"/>
          <w:lang w:val="en-US"/>
        </w:rPr>
        <w:t>Identify sections to revise or simplify</w:t>
      </w:r>
    </w:p>
    <w:p w:rsidR="37F05280" w:rsidP="2C7832B8" w:rsidRDefault="37F05280" w14:paraId="428EA05D" w14:textId="3211D2CC">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2C7832B8" w:rsidR="37F05280">
        <w:rPr>
          <w:rFonts w:ascii="Aptos" w:hAnsi="Aptos" w:eastAsia="Aptos" w:cs="Aptos"/>
          <w:noProof w:val="0"/>
          <w:sz w:val="24"/>
          <w:szCs w:val="24"/>
          <w:lang w:val="en-US"/>
        </w:rPr>
        <w:t>Set a date for the next formal policy review</w:t>
      </w:r>
    </w:p>
    <w:p w:rsidR="37F05280" w:rsidP="2C7832B8" w:rsidRDefault="37F05280" w14:paraId="339FAEAF" w14:textId="7449F3FD">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2C7832B8" w:rsidR="37F05280">
        <w:rPr>
          <w:rFonts w:ascii="Aptos" w:hAnsi="Aptos" w:eastAsia="Aptos" w:cs="Aptos"/>
          <w:noProof w:val="0"/>
          <w:sz w:val="24"/>
          <w:szCs w:val="24"/>
          <w:lang w:val="en-US"/>
        </w:rPr>
        <w:t xml:space="preserve">Assign someone to </w:t>
      </w:r>
      <w:r w:rsidRPr="2C7832B8" w:rsidR="37F05280">
        <w:rPr>
          <w:rFonts w:ascii="Aptos" w:hAnsi="Aptos" w:eastAsia="Aptos" w:cs="Aptos"/>
          <w:b w:val="1"/>
          <w:bCs w:val="1"/>
          <w:noProof w:val="0"/>
          <w:sz w:val="24"/>
          <w:szCs w:val="24"/>
          <w:lang w:val="en-US"/>
        </w:rPr>
        <w:t>own</w:t>
      </w:r>
      <w:r w:rsidRPr="2C7832B8" w:rsidR="37F05280">
        <w:rPr>
          <w:rFonts w:ascii="Aptos" w:hAnsi="Aptos" w:eastAsia="Aptos" w:cs="Aptos"/>
          <w:noProof w:val="0"/>
          <w:sz w:val="24"/>
          <w:szCs w:val="24"/>
          <w:lang w:val="en-US"/>
        </w:rPr>
        <w:t xml:space="preserve"> the policy refresh and share updates with staff</w:t>
      </w:r>
    </w:p>
    <w:p w:rsidR="2C7832B8" w:rsidP="2C7832B8" w:rsidRDefault="2C7832B8" w14:paraId="559D211F" w14:textId="591FD4B5">
      <w:pPr>
        <w:spacing w:before="240" w:beforeAutospacing="off" w:after="240" w:afterAutospacing="off"/>
        <w:rPr>
          <w:rFonts w:ascii="Aptos" w:hAnsi="Aptos" w:eastAsia="Aptos" w:cs="Aptos"/>
          <w:b w:val="1"/>
          <w:bCs w:val="1"/>
          <w:noProof w:val="0"/>
          <w:sz w:val="24"/>
          <w:szCs w:val="24"/>
          <w:lang w:val="en-US"/>
        </w:rPr>
      </w:pPr>
    </w:p>
    <w:p w:rsidR="37F05280" w:rsidP="2C7832B8" w:rsidRDefault="37F05280" w14:paraId="6DAF64F0" w14:textId="6F3020F9">
      <w:pPr>
        <w:spacing w:before="240" w:beforeAutospacing="off" w:after="240" w:afterAutospacing="off"/>
      </w:pPr>
      <w:r w:rsidRPr="2C7832B8" w:rsidR="37F05280">
        <w:rPr>
          <w:rFonts w:ascii="Aptos" w:hAnsi="Aptos" w:eastAsia="Aptos" w:cs="Aptos"/>
          <w:b w:val="1"/>
          <w:bCs w:val="1"/>
          <w:noProof w:val="0"/>
          <w:sz w:val="24"/>
          <w:szCs w:val="24"/>
          <w:lang w:val="en-US"/>
        </w:rPr>
        <w:t>Tip:</w:t>
      </w:r>
      <w:r w:rsidRPr="2C7832B8" w:rsidR="37F05280">
        <w:rPr>
          <w:rFonts w:ascii="Aptos" w:hAnsi="Aptos" w:eastAsia="Aptos" w:cs="Aptos"/>
          <w:noProof w:val="0"/>
          <w:sz w:val="24"/>
          <w:szCs w:val="24"/>
          <w:lang w:val="en-US"/>
        </w:rPr>
        <w:t xml:space="preserve"> Consider creating a companion “cheat sheet” version of your policy—a one-pager with thresholds, links, and steps for staff who order supplies.</w:t>
      </w:r>
    </w:p>
    <w:p w:rsidR="2C7832B8" w:rsidP="2C7832B8" w:rsidRDefault="2C7832B8" w14:paraId="2237CDFE" w14:textId="17E8EF52">
      <w:pPr>
        <w:spacing w:before="240" w:beforeAutospacing="off" w:after="240" w:afterAutospacing="off"/>
        <w:rPr>
          <w:rFonts w:ascii="Aptos" w:hAnsi="Aptos" w:eastAsia="Aptos" w:cs="Aptos"/>
          <w:b w:val="0"/>
          <w:bCs w:val="0"/>
          <w:noProof w:val="0"/>
          <w:sz w:val="24"/>
          <w:szCs w:val="24"/>
          <w:lang w:val="en-US"/>
        </w:rPr>
      </w:pPr>
    </w:p>
    <w:sectPr>
      <w:pgSz w:w="12240" w:h="15840" w:orient="portrait"/>
      <w:pgMar w:top="1440" w:right="1440" w:bottom="1440" w:left="1440" w:header="720" w:footer="720" w:gutter="0"/>
      <w:cols w:space="720"/>
      <w:docGrid w:linePitch="360"/>
      <w:footerReference w:type="default" r:id="R4522d85bac534eed"/>
      <w:headerReference w:type="default" r:id="R70094bf4e52749a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tbl>
    <w:tblPr>
      <w:tblStyle w:val="TableNormal"/>
      <w:bidiVisual w:val="0"/>
      <w:tblW w:w="0" w:type="auto"/>
      <w:tblBorders>
        <w:top w:val="none" w:color="D9D9D9" w:themeColor="background1" w:themeShade="D9" w:sz="12"/>
        <w:left w:val="none" w:color="D9D9D9" w:themeColor="background1" w:themeShade="D9" w:sz="12"/>
        <w:bottom w:val="none" w:color="D9D9D9" w:themeColor="background1" w:themeShade="D9" w:sz="12"/>
        <w:right w:val="none" w:color="D9D9D9" w:themeColor="background1" w:themeShade="D9" w:sz="12"/>
        <w:insideH w:val="none" w:color="D9D9D9" w:themeColor="background1" w:themeShade="D9" w:sz="12"/>
        <w:insideV w:val="none" w:color="D9D9D9" w:themeColor="background1" w:themeShade="D9" w:sz="12"/>
      </w:tblBorders>
      <w:tblLayout w:type="fixed"/>
      <w:tblLook w:val="06A0" w:firstRow="1" w:lastRow="0" w:firstColumn="1" w:lastColumn="0" w:noHBand="1" w:noVBand="1"/>
    </w:tblPr>
    <w:tblGrid>
      <w:gridCol w:w="3120"/>
      <w:gridCol w:w="3120"/>
      <w:gridCol w:w="3120"/>
    </w:tblGrid>
    <w:tr w:rsidR="47772B9E" w:rsidTr="7B598ED0" w14:paraId="11060A7D">
      <w:trPr>
        <w:trHeight w:val="300"/>
      </w:trPr>
      <w:tc>
        <w:tcPr>
          <w:tcW w:w="3120" w:type="dxa"/>
          <w:tcMar/>
        </w:tcPr>
        <w:p w:rsidR="47772B9E" w:rsidP="47772B9E" w:rsidRDefault="47772B9E" w14:paraId="6FA65B5C" w14:textId="2BB6B5AA">
          <w:pPr>
            <w:pStyle w:val="Header"/>
            <w:bidi w:val="0"/>
            <w:ind w:left="-115"/>
            <w:jc w:val="left"/>
          </w:pPr>
        </w:p>
      </w:tc>
      <w:tc>
        <w:tcPr>
          <w:tcW w:w="3120" w:type="dxa"/>
          <w:tcMar/>
        </w:tcPr>
        <w:p w:rsidR="47772B9E" w:rsidP="47772B9E" w:rsidRDefault="47772B9E" w14:paraId="7D5503DF" w14:textId="599D353C">
          <w:pPr>
            <w:pStyle w:val="Header"/>
            <w:bidi w:val="0"/>
            <w:jc w:val="center"/>
          </w:pPr>
        </w:p>
      </w:tc>
      <w:tc>
        <w:tcPr>
          <w:tcW w:w="3120" w:type="dxa"/>
          <w:tcMar/>
        </w:tcPr>
        <w:p w:rsidR="47772B9E" w:rsidP="7B598ED0" w:rsidRDefault="47772B9E" w14:paraId="7B0E9B44" w14:textId="077B1FF4">
          <w:pPr>
            <w:bidi w:val="0"/>
            <w:ind w:right="-115"/>
            <w:jc w:val="right"/>
          </w:pPr>
          <w:r w:rsidR="7B598ED0">
            <w:drawing>
              <wp:inline wp14:editId="5EA4E48F" wp14:anchorId="110B5C01">
                <wp:extent cx="647700" cy="258409"/>
                <wp:effectExtent l="0" t="0" r="0" b="0"/>
                <wp:docPr id="374920789" name="" title=""/>
                <wp:cNvGraphicFramePr>
                  <a:graphicFrameLocks noChangeAspect="1"/>
                </wp:cNvGraphicFramePr>
                <a:graphic>
                  <a:graphicData uri="http://schemas.openxmlformats.org/drawingml/2006/picture">
                    <pic:pic>
                      <pic:nvPicPr>
                        <pic:cNvPr id="0" name=""/>
                        <pic:cNvPicPr/>
                      </pic:nvPicPr>
                      <pic:blipFill>
                        <a:blip r:embed="Reb1f8a5e078c472e">
                          <a:extLst>
                            <a:ext xmlns:a="http://schemas.openxmlformats.org/drawingml/2006/main" uri="{28A0092B-C50C-407E-A947-70E740481C1C}">
                              <a14:useLocalDpi val="0"/>
                            </a:ext>
                          </a:extLst>
                        </a:blip>
                        <a:stretch>
                          <a:fillRect/>
                        </a:stretch>
                      </pic:blipFill>
                      <pic:spPr>
                        <a:xfrm>
                          <a:off x="0" y="0"/>
                          <a:ext cx="647700" cy="258409"/>
                        </a:xfrm>
                        <a:prstGeom prst="rect">
                          <a:avLst/>
                        </a:prstGeom>
                      </pic:spPr>
                    </pic:pic>
                  </a:graphicData>
                </a:graphic>
              </wp:inline>
            </w:drawing>
          </w:r>
        </w:p>
      </w:tc>
    </w:tr>
  </w:tbl>
  <w:p w:rsidR="47772B9E" w:rsidP="47772B9E" w:rsidRDefault="47772B9E" w14:paraId="29463406" w14:textId="6DC68917">
    <w:pPr>
      <w:pStyle w:val="Footer"/>
      <w:bidi w:val="0"/>
    </w:pPr>
  </w:p>
</w:ftr>
</file>

<file path=word/header2.xml><?xml version="1.0" encoding="utf-8"?>
<w:hdr xmlns:w14="http://schemas.microsoft.com/office/word/2010/wordml" xmlns:w="http://schemas.openxmlformats.org/wordprocessingml/2006/main">
  <w:tbl>
    <w:tblPr>
      <w:tblStyle w:val="TableNormal"/>
      <w:bidiVisual w:val="0"/>
      <w:tblW w:w="0" w:type="auto"/>
      <w:tblBorders>
        <w:top w:val="none" w:color="D9D9D9" w:themeColor="background1" w:themeShade="D9" w:sz="12"/>
        <w:left w:val="none" w:color="D9D9D9" w:themeColor="background1" w:themeShade="D9" w:sz="12"/>
        <w:bottom w:val="none" w:color="D9D9D9" w:themeColor="background1" w:themeShade="D9" w:sz="12"/>
        <w:right w:val="none" w:color="D9D9D9" w:themeColor="background1" w:themeShade="D9" w:sz="12"/>
        <w:insideH w:val="none" w:color="D9D9D9" w:themeColor="background1" w:themeShade="D9" w:sz="12"/>
        <w:insideV w:val="none" w:color="D9D9D9" w:themeColor="background1" w:themeShade="D9" w:sz="12"/>
      </w:tblBorders>
      <w:tblLayout w:type="fixed"/>
      <w:tblLook w:val="06A0" w:firstRow="1" w:lastRow="0" w:firstColumn="1" w:lastColumn="0" w:noHBand="1" w:noVBand="1"/>
    </w:tblPr>
    <w:tblGrid>
      <w:gridCol w:w="3120"/>
      <w:gridCol w:w="3120"/>
      <w:gridCol w:w="3120"/>
    </w:tblGrid>
    <w:tr w:rsidR="7B598ED0" w:rsidTr="7B598ED0" w14:paraId="6E31A8DC">
      <w:trPr>
        <w:trHeight w:val="300"/>
      </w:trPr>
      <w:tc>
        <w:tcPr>
          <w:tcW w:w="3120" w:type="dxa"/>
          <w:tcMar/>
        </w:tcPr>
        <w:p w:rsidR="7B598ED0" w:rsidP="7B598ED0" w:rsidRDefault="7B598ED0" w14:paraId="2E7D1BAC" w14:textId="2DBCBBDC">
          <w:pPr>
            <w:pStyle w:val="Header"/>
            <w:bidi w:val="0"/>
            <w:ind w:left="-115"/>
            <w:jc w:val="left"/>
          </w:pPr>
        </w:p>
      </w:tc>
      <w:tc>
        <w:tcPr>
          <w:tcW w:w="3120" w:type="dxa"/>
          <w:tcMar/>
        </w:tcPr>
        <w:p w:rsidR="7B598ED0" w:rsidP="7B598ED0" w:rsidRDefault="7B598ED0" w14:paraId="0EF2A161" w14:textId="5504DE92">
          <w:pPr>
            <w:pStyle w:val="Header"/>
            <w:bidi w:val="0"/>
            <w:jc w:val="center"/>
          </w:pPr>
        </w:p>
      </w:tc>
      <w:tc>
        <w:tcPr>
          <w:tcW w:w="3120" w:type="dxa"/>
          <w:tcMar/>
        </w:tcPr>
        <w:p w:rsidR="7B598ED0" w:rsidP="7B598ED0" w:rsidRDefault="7B598ED0" w14:paraId="12A0F8DA" w14:textId="63D9DCB4">
          <w:pPr>
            <w:pStyle w:val="Header"/>
            <w:bidi w:val="0"/>
            <w:ind w:right="-115"/>
            <w:jc w:val="right"/>
          </w:pPr>
        </w:p>
      </w:tc>
    </w:tr>
  </w:tbl>
  <w:p w:rsidR="7B598ED0" w:rsidP="7B598ED0" w:rsidRDefault="7B598ED0" w14:paraId="6D68B629" w14:textId="4000DD6E">
    <w:pPr>
      <w:pStyle w:val="Header"/>
      <w:bidi w:val="0"/>
    </w:pPr>
  </w:p>
</w:hdr>
</file>

<file path=word/numbering.xml><?xml version="1.0" encoding="utf-8"?>
<w:numbering xmlns:w="http://schemas.openxmlformats.org/wordprocessingml/2006/main">
  <w:abstractNum xmlns:w="http://schemas.openxmlformats.org/wordprocessingml/2006/main" w:abstractNumId="26">
    <w:nsid w:val="5c4435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3d1c3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6596c8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7f0eb4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65b79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20499d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45796f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7d1154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6f1ea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4f0a15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df568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7411df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44d459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304666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439bdb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38c60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9da82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9112f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b887d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e145a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4aa07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f4fbb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00e11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b4fcc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21834a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18ce6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98EBE9"/>
    <w:rsid w:val="013AC30A"/>
    <w:rsid w:val="0446AE1E"/>
    <w:rsid w:val="067FE328"/>
    <w:rsid w:val="08F6AE88"/>
    <w:rsid w:val="0A056F1F"/>
    <w:rsid w:val="0FA51B84"/>
    <w:rsid w:val="10F21298"/>
    <w:rsid w:val="11F605EA"/>
    <w:rsid w:val="129F1D0E"/>
    <w:rsid w:val="13F6961E"/>
    <w:rsid w:val="162D556B"/>
    <w:rsid w:val="162D556B"/>
    <w:rsid w:val="184DF9F0"/>
    <w:rsid w:val="1A77C729"/>
    <w:rsid w:val="1ABAEE4A"/>
    <w:rsid w:val="23B08195"/>
    <w:rsid w:val="277139CE"/>
    <w:rsid w:val="2C7832B8"/>
    <w:rsid w:val="301D5EE3"/>
    <w:rsid w:val="302DE811"/>
    <w:rsid w:val="3477EAA9"/>
    <w:rsid w:val="361357B5"/>
    <w:rsid w:val="37F05280"/>
    <w:rsid w:val="395A7299"/>
    <w:rsid w:val="41C05354"/>
    <w:rsid w:val="47772B9E"/>
    <w:rsid w:val="47901B15"/>
    <w:rsid w:val="480188B3"/>
    <w:rsid w:val="494C0F7C"/>
    <w:rsid w:val="49EEE53C"/>
    <w:rsid w:val="502A46FA"/>
    <w:rsid w:val="51EFBB5F"/>
    <w:rsid w:val="5DB64BAE"/>
    <w:rsid w:val="5EAF4BA9"/>
    <w:rsid w:val="6124AE2D"/>
    <w:rsid w:val="6221DCA7"/>
    <w:rsid w:val="63BB1769"/>
    <w:rsid w:val="63BB1769"/>
    <w:rsid w:val="657766AA"/>
    <w:rsid w:val="6598EBE9"/>
    <w:rsid w:val="69DA563F"/>
    <w:rsid w:val="69DA563F"/>
    <w:rsid w:val="70BEDEFD"/>
    <w:rsid w:val="71517AB0"/>
    <w:rsid w:val="72139C28"/>
    <w:rsid w:val="75E8B621"/>
    <w:rsid w:val="79211DF0"/>
    <w:rsid w:val="79211DF0"/>
    <w:rsid w:val="79DAADE5"/>
    <w:rsid w:val="7AA58218"/>
    <w:rsid w:val="7B27E264"/>
    <w:rsid w:val="7B3A28CD"/>
    <w:rsid w:val="7B598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8EBE9"/>
  <w15:chartTrackingRefBased/>
  <w15:docId w15:val="{8ABC0A47-C8F3-42E9-B94A-CB35C6C073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47772B9E"/>
    <w:pPr>
      <w:spacing/>
      <w:ind w:left="720"/>
      <w:contextualSpacing/>
    </w:pPr>
  </w:style>
  <w:style w:type="paragraph" w:styleId="Header">
    <w:uiPriority w:val="99"/>
    <w:name w:val="header"/>
    <w:basedOn w:val="Normal"/>
    <w:unhideWhenUsed/>
    <w:rsid w:val="47772B9E"/>
    <w:pPr>
      <w:tabs>
        <w:tab w:val="center" w:leader="none" w:pos="4680"/>
        <w:tab w:val="right" w:leader="none" w:pos="9360"/>
      </w:tabs>
      <w:spacing w:after="0" w:line="240" w:lineRule="auto"/>
    </w:pPr>
  </w:style>
  <w:style w:type="paragraph" w:styleId="Footer">
    <w:uiPriority w:val="99"/>
    <w:name w:val="footer"/>
    <w:basedOn w:val="Normal"/>
    <w:unhideWhenUsed/>
    <w:rsid w:val="47772B9E"/>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Hyperlink">
    <w:uiPriority w:val="99"/>
    <w:name w:val="Hyperlink"/>
    <w:basedOn w:val="DefaultParagraphFont"/>
    <w:unhideWhenUsed/>
    <w:rsid w:val="395A729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871107774c644dd0" /><Relationship Type="http://schemas.openxmlformats.org/officeDocument/2006/relationships/footer" Target="footer.xml" Id="R4522d85bac534eed" /><Relationship Type="http://schemas.openxmlformats.org/officeDocument/2006/relationships/numbering" Target="numbering.xml" Id="R6b1443f551a14121" /><Relationship Type="http://schemas.microsoft.com/office/2011/relationships/people" Target="people.xml" Id="Rf0d2fcf60e974eee" /><Relationship Type="http://schemas.microsoft.com/office/2011/relationships/commentsExtended" Target="commentsExtended.xml" Id="R01d2cbbd7cc04896" /><Relationship Type="http://schemas.microsoft.com/office/2016/09/relationships/commentsIds" Target="commentsIds.xml" Id="Rad1370712d844ba7" /><Relationship Type="http://schemas.openxmlformats.org/officeDocument/2006/relationships/header" Target="header2.xml" Id="R70094bf4e52749a0" /></Relationships>
</file>

<file path=word/_rels/footer.xml.rels>&#65279;<?xml version="1.0" encoding="utf-8"?><Relationships xmlns="http://schemas.openxmlformats.org/package/2006/relationships"><Relationship Type="http://schemas.openxmlformats.org/officeDocument/2006/relationships/image" Target="/media/image2.png" Id="Reb1f8a5e078c472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2025-05-23T16:51:50.6696548Z</dcterms:created>
  <dcterms:modified xsi:type="dcterms:W3CDTF">2025-05-30T14:33:10.0220212Z</dcterms:modified>
  <dc:creator>Daniela Parra Milic</dc:creator>
  <lastModifiedBy>Daniela Parra Milic</lastModifiedBy>
</coreProperties>
</file>